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4423C5E4" w:rsidR="006F40BC" w:rsidRPr="002C136E" w:rsidRDefault="006F40BC" w:rsidP="00016124">
            <w:pPr>
              <w:tabs>
                <w:tab w:val="right" w:pos="10000"/>
              </w:tabs>
              <w:spacing w:after="0"/>
              <w:jc w:val="both"/>
              <w:rPr>
                <w:b/>
                <w:sz w:val="22"/>
                <w:szCs w:val="24"/>
              </w:rPr>
            </w:pPr>
            <w:r w:rsidRPr="002C136E">
              <w:rPr>
                <w:b/>
                <w:sz w:val="22"/>
                <w:szCs w:val="24"/>
              </w:rPr>
              <w:t>3GPP TSG-RAN WG1 Meeting #</w:t>
            </w:r>
            <w:r w:rsidR="00782900" w:rsidRPr="002C136E">
              <w:rPr>
                <w:b/>
                <w:sz w:val="22"/>
                <w:szCs w:val="24"/>
              </w:rPr>
              <w:t>10</w:t>
            </w:r>
            <w:r w:rsidR="00A559FB">
              <w:rPr>
                <w:b/>
                <w:sz w:val="22"/>
                <w:szCs w:val="24"/>
              </w:rPr>
              <w:t>4</w:t>
            </w:r>
            <w:r w:rsidR="00F16BBE">
              <w:rPr>
                <w:b/>
                <w:sz w:val="22"/>
                <w:szCs w:val="24"/>
              </w:rPr>
              <w:t>bis</w:t>
            </w:r>
            <w:r w:rsidRPr="002C136E">
              <w:rPr>
                <w:b/>
                <w:sz w:val="22"/>
                <w:szCs w:val="24"/>
              </w:rPr>
              <w:tab/>
            </w:r>
          </w:p>
          <w:p w14:paraId="1EC84673" w14:textId="6494C8CE" w:rsidR="006F40BC" w:rsidRPr="002C136E" w:rsidRDefault="005F6F46" w:rsidP="00016124">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F16BBE">
              <w:rPr>
                <w:rFonts w:ascii="Times New Roman" w:hAnsi="Times New Roman"/>
                <w:i w:val="0"/>
                <w:noProof w:val="0"/>
                <w:sz w:val="22"/>
                <w:szCs w:val="24"/>
              </w:rPr>
              <w:t>April</w:t>
            </w:r>
            <w:r w:rsidR="00A559FB" w:rsidRPr="002C136E">
              <w:rPr>
                <w:rFonts w:ascii="Times New Roman" w:hAnsi="Times New Roman"/>
                <w:i w:val="0"/>
                <w:noProof w:val="0"/>
                <w:sz w:val="22"/>
                <w:szCs w:val="24"/>
              </w:rPr>
              <w:t xml:space="preserve"> </w:t>
            </w:r>
            <w:r w:rsidR="00F16BBE">
              <w:rPr>
                <w:rFonts w:ascii="Times New Roman" w:hAnsi="Times New Roman"/>
                <w:i w:val="0"/>
                <w:noProof w:val="0"/>
                <w:sz w:val="22"/>
                <w:szCs w:val="24"/>
              </w:rPr>
              <w:t>12</w:t>
            </w:r>
            <w:r w:rsidRPr="002C136E">
              <w:rPr>
                <w:rFonts w:ascii="Times New Roman" w:hAnsi="Times New Roman"/>
                <w:i w:val="0"/>
                <w:noProof w:val="0"/>
                <w:sz w:val="22"/>
                <w:szCs w:val="24"/>
                <w:vertAlign w:val="superscript"/>
              </w:rPr>
              <w:t>th</w:t>
            </w:r>
            <w:r w:rsidRPr="002C136E">
              <w:rPr>
                <w:rFonts w:ascii="Times New Roman" w:hAnsi="Times New Roman"/>
                <w:i w:val="0"/>
                <w:noProof w:val="0"/>
                <w:sz w:val="22"/>
                <w:szCs w:val="24"/>
              </w:rPr>
              <w:t xml:space="preserve"> – </w:t>
            </w:r>
            <w:r w:rsidR="00F16BBE">
              <w:rPr>
                <w:rFonts w:ascii="Times New Roman" w:hAnsi="Times New Roman"/>
                <w:i w:val="0"/>
                <w:noProof w:val="0"/>
                <w:sz w:val="22"/>
                <w:szCs w:val="24"/>
              </w:rPr>
              <w:t>April</w:t>
            </w:r>
            <w:r w:rsidR="00A559FB" w:rsidRPr="002C136E">
              <w:rPr>
                <w:rFonts w:ascii="Times New Roman" w:hAnsi="Times New Roman"/>
                <w:i w:val="0"/>
                <w:noProof w:val="0"/>
                <w:sz w:val="22"/>
                <w:szCs w:val="24"/>
              </w:rPr>
              <w:t xml:space="preserve"> </w:t>
            </w:r>
            <w:r w:rsidR="00F16BBE">
              <w:rPr>
                <w:rFonts w:ascii="Times New Roman" w:hAnsi="Times New Roman"/>
                <w:i w:val="0"/>
                <w:noProof w:val="0"/>
                <w:sz w:val="22"/>
                <w:szCs w:val="24"/>
              </w:rPr>
              <w:t>20</w:t>
            </w:r>
            <w:r w:rsidRPr="002C136E">
              <w:rPr>
                <w:rFonts w:ascii="Times New Roman" w:hAnsi="Times New Roman"/>
                <w:i w:val="0"/>
                <w:noProof w:val="0"/>
                <w:sz w:val="22"/>
                <w:szCs w:val="24"/>
                <w:vertAlign w:val="superscript"/>
              </w:rPr>
              <w:t>th</w:t>
            </w:r>
            <w:r w:rsidR="006F40BC" w:rsidRPr="002C136E">
              <w:rPr>
                <w:rFonts w:ascii="Times New Roman" w:hAnsi="Times New Roman"/>
                <w:i w:val="0"/>
                <w:noProof w:val="0"/>
                <w:sz w:val="22"/>
                <w:szCs w:val="24"/>
              </w:rPr>
              <w:t xml:space="preserve">, </w:t>
            </w:r>
            <w:r w:rsidR="00D9584E" w:rsidRPr="002C136E">
              <w:rPr>
                <w:rFonts w:ascii="Times New Roman" w:hAnsi="Times New Roman"/>
                <w:i w:val="0"/>
                <w:noProof w:val="0"/>
                <w:sz w:val="22"/>
                <w:szCs w:val="24"/>
              </w:rPr>
              <w:t>202</w:t>
            </w:r>
            <w:r w:rsidR="00D9584E">
              <w:rPr>
                <w:rFonts w:ascii="Times New Roman" w:hAnsi="Times New Roman"/>
                <w:i w:val="0"/>
                <w:noProof w:val="0"/>
                <w:sz w:val="22"/>
                <w:szCs w:val="24"/>
              </w:rPr>
              <w:t>1</w:t>
            </w:r>
          </w:p>
        </w:tc>
        <w:tc>
          <w:tcPr>
            <w:tcW w:w="2766" w:type="dxa"/>
          </w:tcPr>
          <w:p w14:paraId="04437A8E" w14:textId="72CD5144" w:rsidR="006F40BC" w:rsidRPr="002C136E" w:rsidRDefault="00721FFC" w:rsidP="00016124">
            <w:pPr>
              <w:tabs>
                <w:tab w:val="right" w:pos="10000"/>
              </w:tabs>
              <w:spacing w:after="0"/>
              <w:jc w:val="right"/>
              <w:rPr>
                <w:bCs/>
                <w:sz w:val="22"/>
                <w:szCs w:val="24"/>
              </w:rPr>
            </w:pPr>
            <w:r w:rsidRPr="00721FFC">
              <w:rPr>
                <w:b/>
                <w:sz w:val="22"/>
                <w:szCs w:val="24"/>
              </w:rPr>
              <w:t>R1-</w:t>
            </w:r>
            <w:r w:rsidR="008243A9">
              <w:rPr>
                <w:b/>
                <w:sz w:val="22"/>
                <w:szCs w:val="24"/>
              </w:rPr>
              <w:t>21</w:t>
            </w:r>
            <w:r w:rsidR="004B6301">
              <w:rPr>
                <w:b/>
                <w:sz w:val="22"/>
                <w:szCs w:val="24"/>
              </w:rPr>
              <w:t>0</w:t>
            </w:r>
            <w:r w:rsidR="001737E1">
              <w:rPr>
                <w:b/>
                <w:sz w:val="22"/>
                <w:szCs w:val="24"/>
              </w:rPr>
              <w:t>3179</w:t>
            </w:r>
          </w:p>
        </w:tc>
      </w:tr>
    </w:tbl>
    <w:p w14:paraId="24B66D98" w14:textId="77777777" w:rsidR="00746535" w:rsidRPr="002C136E" w:rsidRDefault="00746535" w:rsidP="00016124">
      <w:pPr>
        <w:pStyle w:val="Footer"/>
        <w:jc w:val="both"/>
        <w:rPr>
          <w:rFonts w:ascii="Times New Roman" w:hAnsi="Times New Roman"/>
          <w:noProof w:val="0"/>
          <w:sz w:val="16"/>
        </w:rPr>
      </w:pPr>
      <w:bookmarkStart w:id="0" w:name="_Hlk495298459"/>
    </w:p>
    <w:p w14:paraId="0597369D" w14:textId="13495EAB" w:rsidR="00746535" w:rsidRPr="002C136E" w:rsidRDefault="00746535" w:rsidP="00016124">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w:t>
      </w:r>
      <w:r w:rsidR="000B1540">
        <w:rPr>
          <w:sz w:val="22"/>
        </w:rPr>
        <w:t>2</w:t>
      </w:r>
    </w:p>
    <w:p w14:paraId="1516E913" w14:textId="77777777" w:rsidR="00746535" w:rsidRPr="002C136E" w:rsidRDefault="00746535" w:rsidP="00016124">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651885DA" w:rsidR="00746535" w:rsidRPr="002C136E" w:rsidRDefault="00746535" w:rsidP="00016124">
      <w:pPr>
        <w:ind w:left="1988" w:hanging="1988"/>
        <w:jc w:val="both"/>
        <w:rPr>
          <w:sz w:val="22"/>
        </w:rPr>
      </w:pPr>
      <w:r w:rsidRPr="002C136E">
        <w:rPr>
          <w:b/>
          <w:sz w:val="24"/>
        </w:rPr>
        <w:t>Title:</w:t>
      </w:r>
      <w:r w:rsidRPr="002C136E">
        <w:rPr>
          <w:sz w:val="24"/>
        </w:rPr>
        <w:t xml:space="preserve"> </w:t>
      </w:r>
      <w:r w:rsidRPr="002C136E">
        <w:rPr>
          <w:sz w:val="22"/>
        </w:rPr>
        <w:tab/>
      </w:r>
      <w:r w:rsidR="00D52C88" w:rsidRPr="00D52C88">
        <w:t xml:space="preserve"> </w:t>
      </w:r>
      <w:r w:rsidR="00662FEF">
        <w:rPr>
          <w:sz w:val="22"/>
        </w:rPr>
        <w:t xml:space="preserve">TB Processing over multi-slot </w:t>
      </w:r>
      <w:r w:rsidR="00D52C88" w:rsidRPr="00D52C88">
        <w:rPr>
          <w:sz w:val="22"/>
        </w:rPr>
        <w:t>PUSCH</w:t>
      </w:r>
    </w:p>
    <w:bookmarkEnd w:id="0"/>
    <w:p w14:paraId="0E23AC92" w14:textId="77777777" w:rsidR="00746535" w:rsidRPr="002C136E" w:rsidRDefault="00746535" w:rsidP="00016124">
      <w:pPr>
        <w:ind w:left="1988" w:hanging="1988"/>
        <w:jc w:val="both"/>
        <w:rPr>
          <w:sz w:val="22"/>
        </w:rPr>
      </w:pPr>
      <w:r w:rsidRPr="002C136E">
        <w:rPr>
          <w:b/>
          <w:sz w:val="22"/>
        </w:rPr>
        <w:t>Document for:</w:t>
      </w:r>
      <w:r w:rsidRPr="002C136E">
        <w:rPr>
          <w:sz w:val="22"/>
        </w:rPr>
        <w:tab/>
        <w:t>Discussion/Decision</w:t>
      </w:r>
    </w:p>
    <w:p w14:paraId="09A00AF9" w14:textId="630C8C84" w:rsidR="00746535" w:rsidRPr="002C136E" w:rsidRDefault="00746535" w:rsidP="00016124">
      <w:pPr>
        <w:pStyle w:val="Heading1"/>
        <w:jc w:val="both"/>
        <w:rPr>
          <w:rFonts w:ascii="Times New Roman" w:hAnsi="Times New Roman"/>
          <w:lang w:val="en-US"/>
        </w:rPr>
      </w:pPr>
      <w:r w:rsidRPr="002C136E">
        <w:rPr>
          <w:rFonts w:ascii="Times New Roman" w:hAnsi="Times New Roman"/>
          <w:lang w:val="en-US"/>
        </w:rPr>
        <w:t>Introduction</w:t>
      </w:r>
    </w:p>
    <w:p w14:paraId="2FA77CEB" w14:textId="5926F9B9" w:rsidR="00B517CB" w:rsidRDefault="00B517CB" w:rsidP="00B517CB">
      <w:pPr>
        <w:overflowPunct/>
        <w:autoSpaceDE/>
        <w:autoSpaceDN/>
        <w:adjustRightInd/>
        <w:spacing w:before="120" w:after="120" w:line="276" w:lineRule="auto"/>
        <w:jc w:val="both"/>
        <w:textAlignment w:val="auto"/>
        <w:rPr>
          <w:lang w:eastAsia="zh-CN"/>
        </w:rPr>
      </w:pPr>
      <w:r>
        <w:rPr>
          <w:lang w:eastAsia="zh-CN"/>
        </w:rPr>
        <w:t>In the last RAN1 meeting (R1-104e) s</w:t>
      </w:r>
      <w:r w:rsidRPr="00B517CB">
        <w:rPr>
          <w:lang w:eastAsia="zh-CN"/>
        </w:rPr>
        <w:t>upporting TBoMS over consecutive and nonconsecutive slots was debated extensively</w:t>
      </w:r>
      <w:r>
        <w:rPr>
          <w:lang w:eastAsia="zh-CN"/>
        </w:rPr>
        <w:t xml:space="preserve"> and the following agreement was made:</w:t>
      </w:r>
    </w:p>
    <w:p w14:paraId="47AD8735" w14:textId="77777777" w:rsidR="00B517CB" w:rsidRPr="00B517CB" w:rsidRDefault="00B517CB" w:rsidP="00B517CB">
      <w:pPr>
        <w:rPr>
          <w:b/>
          <w:bCs/>
          <w:color w:val="000000" w:themeColor="text1"/>
        </w:rPr>
      </w:pPr>
      <w:r w:rsidRPr="00B517CB">
        <w:rPr>
          <w:b/>
          <w:bCs/>
          <w:color w:val="000000" w:themeColor="text1"/>
          <w:highlight w:val="green"/>
        </w:rPr>
        <w:t>Agreements:</w:t>
      </w:r>
    </w:p>
    <w:p w14:paraId="6728D9B0" w14:textId="77777777" w:rsidR="00B517CB" w:rsidRPr="00B517CB" w:rsidRDefault="00B517CB" w:rsidP="00A160DC">
      <w:pPr>
        <w:pStyle w:val="ListParagraph"/>
        <w:numPr>
          <w:ilvl w:val="0"/>
          <w:numId w:val="29"/>
        </w:numPr>
        <w:overflowPunct/>
        <w:autoSpaceDE/>
        <w:autoSpaceDN/>
        <w:adjustRightInd/>
        <w:spacing w:after="0" w:line="252" w:lineRule="auto"/>
        <w:jc w:val="both"/>
        <w:textAlignment w:val="auto"/>
        <w:rPr>
          <w:rFonts w:ascii="Gulim" w:hAnsi="Gulim" w:cs="Calibri"/>
          <w:color w:val="000000" w:themeColor="text1"/>
        </w:rPr>
      </w:pPr>
      <w:r w:rsidRPr="00B517CB">
        <w:rPr>
          <w:color w:val="000000" w:themeColor="text1"/>
        </w:rPr>
        <w:t>C</w:t>
      </w:r>
      <w:r w:rsidRPr="00B517CB">
        <w:rPr>
          <w:rFonts w:hint="eastAsia"/>
          <w:color w:val="000000" w:themeColor="text1"/>
        </w:rPr>
        <w:t xml:space="preserve">onsecutive physical slots for UL transmission can be used for TBoMS for unpaired spectrum </w:t>
      </w:r>
    </w:p>
    <w:p w14:paraId="2534222F" w14:textId="77777777" w:rsidR="00B517CB" w:rsidRPr="00B517CB" w:rsidRDefault="00B517CB" w:rsidP="00A160DC">
      <w:pPr>
        <w:pStyle w:val="ListParagraph"/>
        <w:numPr>
          <w:ilvl w:val="1"/>
          <w:numId w:val="29"/>
        </w:numPr>
        <w:overflowPunct/>
        <w:autoSpaceDE/>
        <w:autoSpaceDN/>
        <w:adjustRightInd/>
        <w:spacing w:after="0" w:line="252" w:lineRule="auto"/>
        <w:jc w:val="both"/>
        <w:textAlignment w:val="auto"/>
        <w:rPr>
          <w:color w:val="000000" w:themeColor="text1"/>
        </w:rPr>
      </w:pPr>
      <w:r w:rsidRPr="00B517CB">
        <w:rPr>
          <w:color w:val="000000" w:themeColor="text1"/>
        </w:rPr>
        <w:t xml:space="preserve">To resolve in RAN1#104b-e whether to support non-consecutive </w:t>
      </w:r>
      <w:r w:rsidRPr="00B517CB">
        <w:rPr>
          <w:rFonts w:hint="eastAsia"/>
          <w:color w:val="000000" w:themeColor="text1"/>
        </w:rPr>
        <w:t>physical slots for UL transmission for TBoMS for unpaired spectrum</w:t>
      </w:r>
      <w:r w:rsidRPr="00B517CB">
        <w:rPr>
          <w:color w:val="000000" w:themeColor="text1"/>
        </w:rPr>
        <w:t xml:space="preserve"> </w:t>
      </w:r>
    </w:p>
    <w:p w14:paraId="5C103878" w14:textId="77777777" w:rsidR="00B517CB" w:rsidRPr="00B517CB" w:rsidRDefault="00B517CB" w:rsidP="00A160DC">
      <w:pPr>
        <w:pStyle w:val="ListParagraph"/>
        <w:numPr>
          <w:ilvl w:val="0"/>
          <w:numId w:val="29"/>
        </w:numPr>
        <w:overflowPunct/>
        <w:autoSpaceDE/>
        <w:autoSpaceDN/>
        <w:adjustRightInd/>
        <w:spacing w:after="0" w:line="252" w:lineRule="auto"/>
        <w:jc w:val="both"/>
        <w:textAlignment w:val="auto"/>
        <w:rPr>
          <w:color w:val="000000" w:themeColor="text1"/>
        </w:rPr>
      </w:pPr>
      <w:r w:rsidRPr="00B517CB">
        <w:rPr>
          <w:rFonts w:hint="eastAsia"/>
          <w:color w:val="000000" w:themeColor="text1"/>
        </w:rPr>
        <w:t xml:space="preserve">Consecutive physical slots for UL transmission can be used for TBoMS for paired spectrum and the SUL band </w:t>
      </w:r>
    </w:p>
    <w:p w14:paraId="755333CC" w14:textId="77777777" w:rsidR="00B517CB" w:rsidRPr="00B517CB" w:rsidRDefault="00B517CB" w:rsidP="00A160DC">
      <w:pPr>
        <w:pStyle w:val="ListParagraph"/>
        <w:numPr>
          <w:ilvl w:val="1"/>
          <w:numId w:val="29"/>
        </w:numPr>
        <w:overflowPunct/>
        <w:autoSpaceDE/>
        <w:autoSpaceDN/>
        <w:adjustRightInd/>
        <w:spacing w:after="0" w:line="252" w:lineRule="auto"/>
        <w:jc w:val="both"/>
        <w:textAlignment w:val="auto"/>
        <w:rPr>
          <w:color w:val="000000" w:themeColor="text1"/>
        </w:rPr>
      </w:pPr>
      <w:r w:rsidRPr="00B517CB">
        <w:rPr>
          <w:rFonts w:hint="eastAsia"/>
          <w:color w:val="000000" w:themeColor="text1"/>
        </w:rPr>
        <w:t>FFS if non-consecutive physical slots for UL transmission are also supported for paired spectrum and the SUL band</w:t>
      </w:r>
    </w:p>
    <w:p w14:paraId="3065D196" w14:textId="45E9C1E9" w:rsidR="00B517CB" w:rsidRDefault="00B517CB" w:rsidP="00B517CB">
      <w:pPr>
        <w:overflowPunct/>
        <w:autoSpaceDE/>
        <w:autoSpaceDN/>
        <w:adjustRightInd/>
        <w:spacing w:before="120" w:after="120" w:line="276" w:lineRule="auto"/>
        <w:jc w:val="both"/>
        <w:textAlignment w:val="auto"/>
        <w:rPr>
          <w:lang w:eastAsia="zh-CN"/>
        </w:rPr>
      </w:pPr>
      <w:r w:rsidRPr="00B517CB">
        <w:rPr>
          <w:lang w:eastAsia="zh-CN"/>
        </w:rPr>
        <w:t xml:space="preserve">In the upcoming meeting, we hope to converge on some basic aspects of TBoMS such as transmission occasion, TDRA, interaction with repetition and RV cycling framework </w:t>
      </w:r>
      <w:r>
        <w:rPr>
          <w:lang w:eastAsia="zh-CN"/>
        </w:rPr>
        <w:t>so that we can decide on how/whether to support TBoMS across nonconsecutive slots.</w:t>
      </w:r>
    </w:p>
    <w:p w14:paraId="33C0E0CF" w14:textId="6B789552" w:rsidR="00B517CB" w:rsidRDefault="00B517CB" w:rsidP="00B517CB">
      <w:pPr>
        <w:overflowPunct/>
        <w:autoSpaceDE/>
        <w:autoSpaceDN/>
        <w:adjustRightInd/>
        <w:spacing w:before="120" w:after="120" w:line="276" w:lineRule="auto"/>
        <w:jc w:val="both"/>
        <w:textAlignment w:val="auto"/>
        <w:rPr>
          <w:lang w:eastAsia="zh-CN"/>
        </w:rPr>
      </w:pPr>
      <w:r>
        <w:rPr>
          <w:lang w:eastAsia="zh-CN"/>
        </w:rPr>
        <w:t xml:space="preserve">Before getting into the details on TBoMS design, we present a quick recap of the motivation behind TBoMS since this </w:t>
      </w:r>
      <w:r w:rsidR="0036381D">
        <w:rPr>
          <w:lang w:eastAsia="zh-CN"/>
        </w:rPr>
        <w:t xml:space="preserve">has </w:t>
      </w:r>
      <w:r>
        <w:rPr>
          <w:lang w:eastAsia="zh-CN"/>
        </w:rPr>
        <w:t>influence</w:t>
      </w:r>
      <w:r w:rsidR="0036381D">
        <w:rPr>
          <w:lang w:eastAsia="zh-CN"/>
        </w:rPr>
        <w:t xml:space="preserve"> on</w:t>
      </w:r>
      <w:r>
        <w:rPr>
          <w:lang w:eastAsia="zh-CN"/>
        </w:rPr>
        <w:t xml:space="preserve"> some of our design prioritization.</w:t>
      </w:r>
    </w:p>
    <w:p w14:paraId="3717228D" w14:textId="50EB9D66" w:rsidR="009238DC" w:rsidRDefault="009238DC" w:rsidP="00B517CB">
      <w:pPr>
        <w:overflowPunct/>
        <w:autoSpaceDE/>
        <w:autoSpaceDN/>
        <w:adjustRightInd/>
        <w:spacing w:before="120" w:after="120" w:line="276" w:lineRule="auto"/>
        <w:jc w:val="both"/>
        <w:textAlignment w:val="auto"/>
        <w:rPr>
          <w:lang w:eastAsia="zh-CN"/>
        </w:rPr>
      </w:pPr>
      <w:r>
        <w:rPr>
          <w:lang w:eastAsia="zh-CN"/>
        </w:rPr>
        <w:t xml:space="preserve">TBoMS is primarily motivated by a desire to prevent/reduce segmentation of small payloads in uplink. This is illustrated in </w:t>
      </w:r>
      <w:r w:rsidR="000F7B85">
        <w:rPr>
          <w:lang w:eastAsia="zh-CN"/>
        </w:rPr>
        <w:fldChar w:fldCharType="begin"/>
      </w:r>
      <w:r w:rsidR="000F7B85">
        <w:rPr>
          <w:lang w:eastAsia="zh-CN"/>
        </w:rPr>
        <w:instrText xml:space="preserve"> REF _Ref68609770 \h </w:instrText>
      </w:r>
      <w:r w:rsidR="000F7B85">
        <w:rPr>
          <w:lang w:eastAsia="zh-CN"/>
        </w:rPr>
      </w:r>
      <w:r w:rsidR="000F7B85">
        <w:rPr>
          <w:lang w:eastAsia="zh-CN"/>
        </w:rPr>
        <w:fldChar w:fldCharType="separate"/>
      </w:r>
      <w:r w:rsidR="000F7B85">
        <w:t xml:space="preserve">Figure </w:t>
      </w:r>
      <w:r w:rsidR="000F7B85">
        <w:rPr>
          <w:noProof/>
        </w:rPr>
        <w:t>1</w:t>
      </w:r>
      <w:r w:rsidR="000F7B85">
        <w:rPr>
          <w:lang w:eastAsia="zh-CN"/>
        </w:rPr>
        <w:fldChar w:fldCharType="end"/>
      </w:r>
      <w:r w:rsidR="000F7B85">
        <w:rPr>
          <w:lang w:eastAsia="zh-CN"/>
        </w:rPr>
        <w:t xml:space="preserve"> </w:t>
      </w:r>
      <w:r>
        <w:rPr>
          <w:lang w:eastAsia="zh-CN"/>
        </w:rPr>
        <w:t xml:space="preserve">where a small payload of size 328 bits (typical VoIP packet) is assigned to be transmitted over a narrow RB allocation across 2 slots. The allocation is small enough that this requires splitting the packet into two parts and transmitting it as 2 </w:t>
      </w:r>
      <w:r w:rsidR="0036381D">
        <w:rPr>
          <w:lang w:eastAsia="zh-CN"/>
        </w:rPr>
        <w:t xml:space="preserve">separate </w:t>
      </w:r>
      <w:proofErr w:type="spellStart"/>
      <w:r>
        <w:rPr>
          <w:lang w:eastAsia="zh-CN"/>
        </w:rPr>
        <w:t>TBs.</w:t>
      </w:r>
      <w:proofErr w:type="spellEnd"/>
      <w:r>
        <w:rPr>
          <w:lang w:eastAsia="zh-CN"/>
        </w:rPr>
        <w:t xml:space="preserve"> Assuming a 40 bit overhead for upper layer headers, this translates to a TB size of 204 bits (328/2 + 40). This </w:t>
      </w:r>
      <w:proofErr w:type="gramStart"/>
      <w:r>
        <w:rPr>
          <w:lang w:eastAsia="zh-CN"/>
        </w:rPr>
        <w:t>328 bit</w:t>
      </w:r>
      <w:proofErr w:type="gramEnd"/>
      <w:r>
        <w:rPr>
          <w:lang w:eastAsia="zh-CN"/>
        </w:rPr>
        <w:t xml:space="preserve"> packet is transmitted across 2 TBs spanning a total of 4 RBs.</w:t>
      </w:r>
    </w:p>
    <w:p w14:paraId="219C3996" w14:textId="77777777" w:rsidR="00EF74F2" w:rsidRDefault="00EF74F2" w:rsidP="00EF74F2">
      <w:pPr>
        <w:keepNext/>
        <w:overflowPunct/>
        <w:autoSpaceDE/>
        <w:autoSpaceDN/>
        <w:adjustRightInd/>
        <w:spacing w:before="120" w:after="120" w:line="276" w:lineRule="auto"/>
        <w:jc w:val="center"/>
        <w:textAlignment w:val="auto"/>
      </w:pPr>
      <w:r>
        <w:rPr>
          <w:noProof/>
          <w:lang w:eastAsia="zh-CN"/>
        </w:rPr>
        <w:drawing>
          <wp:inline distT="0" distB="0" distL="0" distR="0" wp14:anchorId="44614EB6" wp14:editId="775C82AC">
            <wp:extent cx="4440827" cy="23887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63306" cy="2400830"/>
                    </a:xfrm>
                    <a:prstGeom prst="rect">
                      <a:avLst/>
                    </a:prstGeom>
                    <a:noFill/>
                  </pic:spPr>
                </pic:pic>
              </a:graphicData>
            </a:graphic>
          </wp:inline>
        </w:drawing>
      </w:r>
    </w:p>
    <w:p w14:paraId="57073349" w14:textId="486BE0FE" w:rsidR="00B517CB" w:rsidRDefault="00EF74F2" w:rsidP="00EF74F2">
      <w:pPr>
        <w:pStyle w:val="Caption"/>
        <w:jc w:val="center"/>
        <w:rPr>
          <w:lang w:eastAsia="zh-CN"/>
        </w:rPr>
      </w:pPr>
      <w:bookmarkStart w:id="1" w:name="_Ref68609770"/>
      <w:r>
        <w:t xml:space="preserve">Figure </w:t>
      </w:r>
      <w:r>
        <w:fldChar w:fldCharType="begin"/>
      </w:r>
      <w:r>
        <w:instrText xml:space="preserve"> SEQ Figure \* ARABIC </w:instrText>
      </w:r>
      <w:r>
        <w:fldChar w:fldCharType="separate"/>
      </w:r>
      <w:r w:rsidR="005E4C14">
        <w:rPr>
          <w:noProof/>
        </w:rPr>
        <w:t>1</w:t>
      </w:r>
      <w:r>
        <w:fldChar w:fldCharType="end"/>
      </w:r>
      <w:bookmarkEnd w:id="1"/>
      <w:r>
        <w:t xml:space="preserve"> Small payload transmission in legacy PUSCH transmission and TBoMS</w:t>
      </w:r>
    </w:p>
    <w:p w14:paraId="159A7741" w14:textId="330DE5CA" w:rsidR="009238DC" w:rsidRDefault="000044F9" w:rsidP="00B517CB">
      <w:pPr>
        <w:overflowPunct/>
        <w:autoSpaceDE/>
        <w:autoSpaceDN/>
        <w:adjustRightInd/>
        <w:spacing w:before="120" w:after="120" w:line="276" w:lineRule="auto"/>
        <w:jc w:val="both"/>
        <w:textAlignment w:val="auto"/>
        <w:rPr>
          <w:lang w:eastAsia="zh-CN"/>
        </w:rPr>
      </w:pPr>
      <w:r>
        <w:rPr>
          <w:lang w:eastAsia="zh-CN"/>
        </w:rPr>
        <w:t>This mode of operation has a couple of drawbacks</w:t>
      </w:r>
      <w:r w:rsidR="003829FD">
        <w:rPr>
          <w:lang w:eastAsia="zh-CN"/>
        </w:rPr>
        <w:t>:</w:t>
      </w:r>
      <w:r>
        <w:rPr>
          <w:lang w:eastAsia="zh-CN"/>
        </w:rPr>
        <w:t xml:space="preserve"> </w:t>
      </w:r>
      <w:r w:rsidR="00C602D3">
        <w:rPr>
          <w:lang w:eastAsia="zh-CN"/>
        </w:rPr>
        <w:t>f</w:t>
      </w:r>
      <w:r>
        <w:rPr>
          <w:lang w:eastAsia="zh-CN"/>
        </w:rPr>
        <w:t>irst, segmentation leads to increase in upper layer overhead and second, coding gains diminish as TB sizes decrease, especially when the TB sizes are less than thousand bits.</w:t>
      </w:r>
    </w:p>
    <w:p w14:paraId="44048136" w14:textId="63B25DF5" w:rsidR="00C602D3" w:rsidRDefault="003829FD" w:rsidP="003829FD">
      <w:pPr>
        <w:overflowPunct/>
        <w:autoSpaceDE/>
        <w:autoSpaceDN/>
        <w:adjustRightInd/>
        <w:spacing w:before="120" w:after="120" w:line="276" w:lineRule="auto"/>
        <w:jc w:val="both"/>
        <w:textAlignment w:val="auto"/>
        <w:rPr>
          <w:lang w:eastAsia="zh-CN"/>
        </w:rPr>
      </w:pPr>
      <w:r>
        <w:rPr>
          <w:lang w:eastAsia="zh-CN"/>
        </w:rPr>
        <w:lastRenderedPageBreak/>
        <w:t xml:space="preserve">An improved mode of operation strives to keep the entire payload together and avoid segmentation while using the same amount of resources as before. In the earlier figure, this is the option presented at the bottom where </w:t>
      </w:r>
      <w:r w:rsidRPr="003829FD">
        <w:rPr>
          <w:lang w:eastAsia="zh-CN"/>
        </w:rPr>
        <w:t xml:space="preserve">the entire </w:t>
      </w:r>
      <w:proofErr w:type="gramStart"/>
      <w:r w:rsidRPr="003829FD">
        <w:rPr>
          <w:lang w:eastAsia="zh-CN"/>
        </w:rPr>
        <w:t>328 bit</w:t>
      </w:r>
      <w:proofErr w:type="gramEnd"/>
      <w:r w:rsidRPr="003829FD">
        <w:rPr>
          <w:lang w:eastAsia="zh-CN"/>
        </w:rPr>
        <w:t xml:space="preserve"> payload is transmitted as</w:t>
      </w:r>
      <w:r>
        <w:rPr>
          <w:lang w:eastAsia="zh-CN"/>
        </w:rPr>
        <w:t xml:space="preserve"> a</w:t>
      </w:r>
      <w:r w:rsidRPr="003829FD">
        <w:rPr>
          <w:lang w:eastAsia="zh-CN"/>
        </w:rPr>
        <w:t xml:space="preserve"> single TB over the same set of resources</w:t>
      </w:r>
      <w:r>
        <w:rPr>
          <w:lang w:eastAsia="zh-CN"/>
        </w:rPr>
        <w:t xml:space="preserve"> (with same RB allocation and MCS as before) spanning 4 slots. </w:t>
      </w:r>
    </w:p>
    <w:p w14:paraId="4CCB684E" w14:textId="466363E7" w:rsidR="00C602D3" w:rsidRDefault="00C602D3" w:rsidP="003829FD">
      <w:pPr>
        <w:overflowPunct/>
        <w:autoSpaceDE/>
        <w:autoSpaceDN/>
        <w:adjustRightInd/>
        <w:spacing w:before="120" w:after="120" w:line="276" w:lineRule="auto"/>
        <w:jc w:val="both"/>
        <w:textAlignment w:val="auto"/>
        <w:rPr>
          <w:lang w:eastAsia="zh-CN"/>
        </w:rPr>
      </w:pPr>
      <w:r>
        <w:rPr>
          <w:lang w:eastAsia="zh-CN"/>
        </w:rPr>
        <w:t>With this use case as the primary motivation, we make the following proposal:</w:t>
      </w:r>
    </w:p>
    <w:p w14:paraId="0471D0C5" w14:textId="0F75CE27" w:rsidR="00C602D3" w:rsidRDefault="00C602D3" w:rsidP="003829FD">
      <w:pPr>
        <w:overflowPunct/>
        <w:autoSpaceDE/>
        <w:autoSpaceDN/>
        <w:adjustRightInd/>
        <w:spacing w:before="120" w:after="120" w:line="276" w:lineRule="auto"/>
        <w:jc w:val="both"/>
        <w:textAlignment w:val="auto"/>
        <w:rPr>
          <w:lang w:eastAsia="zh-CN"/>
        </w:rPr>
      </w:pPr>
      <w:r w:rsidRPr="00C602D3">
        <w:rPr>
          <w:b/>
          <w:lang w:eastAsia="zh-CN"/>
        </w:rPr>
        <w:t>Proposal</w:t>
      </w:r>
      <w:r w:rsidR="00574132">
        <w:rPr>
          <w:b/>
          <w:lang w:eastAsia="zh-CN"/>
        </w:rPr>
        <w:t xml:space="preserve"> 1</w:t>
      </w:r>
      <w:r w:rsidRPr="00C602D3">
        <w:rPr>
          <w:b/>
          <w:lang w:eastAsia="zh-CN"/>
        </w:rPr>
        <w:t>:</w:t>
      </w:r>
      <w:r>
        <w:rPr>
          <w:lang w:eastAsia="zh-CN"/>
        </w:rPr>
        <w:t xml:space="preserve"> </w:t>
      </w:r>
      <w:r w:rsidR="00035010">
        <w:rPr>
          <w:lang w:eastAsia="zh-CN"/>
        </w:rPr>
        <w:t>RAN1 prioritizes d</w:t>
      </w:r>
      <w:r>
        <w:rPr>
          <w:lang w:eastAsia="zh-CN"/>
        </w:rPr>
        <w:t xml:space="preserve">esign considerations for TBoMS </w:t>
      </w:r>
      <w:r w:rsidR="00035010">
        <w:rPr>
          <w:lang w:eastAsia="zh-CN"/>
        </w:rPr>
        <w:t xml:space="preserve">that help prevent or </w:t>
      </w:r>
      <w:proofErr w:type="gramStart"/>
      <w:r w:rsidR="00035010">
        <w:rPr>
          <w:lang w:eastAsia="zh-CN"/>
        </w:rPr>
        <w:t xml:space="preserve">reduce </w:t>
      </w:r>
      <w:r>
        <w:rPr>
          <w:lang w:eastAsia="zh-CN"/>
        </w:rPr>
        <w:t xml:space="preserve"> small</w:t>
      </w:r>
      <w:proofErr w:type="gramEnd"/>
      <w:r>
        <w:rPr>
          <w:lang w:eastAsia="zh-CN"/>
        </w:rPr>
        <w:t xml:space="preserve"> payload segmentation.</w:t>
      </w:r>
    </w:p>
    <w:p w14:paraId="6FBA8E5D" w14:textId="5786D1D1" w:rsidR="00366C1C" w:rsidRDefault="00366C1C" w:rsidP="003829FD">
      <w:pPr>
        <w:overflowPunct/>
        <w:autoSpaceDE/>
        <w:autoSpaceDN/>
        <w:adjustRightInd/>
        <w:spacing w:before="120" w:after="120" w:line="276" w:lineRule="auto"/>
        <w:jc w:val="both"/>
        <w:textAlignment w:val="auto"/>
        <w:rPr>
          <w:lang w:eastAsia="zh-CN"/>
        </w:rPr>
      </w:pPr>
      <w:r>
        <w:rPr>
          <w:lang w:eastAsia="zh-CN"/>
        </w:rPr>
        <w:t>In the next section we present additional considerations on TBoMS transmissions.</w:t>
      </w:r>
    </w:p>
    <w:p w14:paraId="0822BAB8" w14:textId="3761E2CF" w:rsidR="00017485" w:rsidRDefault="00D97D65" w:rsidP="00016124">
      <w:pPr>
        <w:pStyle w:val="Heading1"/>
        <w:jc w:val="both"/>
        <w:rPr>
          <w:rFonts w:ascii="Times New Roman" w:hAnsi="Times New Roman"/>
          <w:lang w:val="en-US"/>
        </w:rPr>
      </w:pPr>
      <w:r>
        <w:rPr>
          <w:rFonts w:ascii="Times New Roman" w:hAnsi="Times New Roman"/>
          <w:lang w:val="en-US"/>
        </w:rPr>
        <w:t>TBoMS</w:t>
      </w:r>
      <w:r w:rsidR="00462F56">
        <w:rPr>
          <w:rFonts w:ascii="Times New Roman" w:hAnsi="Times New Roman"/>
          <w:lang w:val="en-US"/>
        </w:rPr>
        <w:t xml:space="preserve"> Transmissions</w:t>
      </w:r>
      <w:r w:rsidR="00017485">
        <w:rPr>
          <w:rFonts w:ascii="Times New Roman" w:hAnsi="Times New Roman"/>
          <w:lang w:val="en-US"/>
        </w:rPr>
        <w:t xml:space="preserve"> </w:t>
      </w:r>
    </w:p>
    <w:p w14:paraId="14B06632" w14:textId="7B690CF3" w:rsidR="00462F56" w:rsidRDefault="00017485" w:rsidP="00017485">
      <w:pPr>
        <w:pStyle w:val="Heading2"/>
      </w:pPr>
      <w:r>
        <w:t>TDRA Aspects</w:t>
      </w:r>
    </w:p>
    <w:p w14:paraId="4C7208A9" w14:textId="2F89FF0D" w:rsidR="00366C1C" w:rsidRDefault="00366C1C" w:rsidP="00366C1C">
      <w:r>
        <w:t>How time domain resources spread across contiguous or noncontiguous slots are pooled together and used towards TBoMS forms the core aspect of this section.</w:t>
      </w:r>
    </w:p>
    <w:p w14:paraId="4958190A" w14:textId="0628F107" w:rsidR="00366C1C" w:rsidRDefault="00366C1C" w:rsidP="00366C1C">
      <w:r>
        <w:t xml:space="preserve">Using the example presented in the previous section as a motivation, consider how a pool of resources across 4 slots may be brought together in a TDD context. In the figure below, we consider a TDD system with slot pattern DDDU. In such a setup, there are no contiguous uplink slots, and a TBoMS spanning 4 uplink slots </w:t>
      </w:r>
      <w:proofErr w:type="gramStart"/>
      <w:r>
        <w:t>has to</w:t>
      </w:r>
      <w:proofErr w:type="gramEnd"/>
      <w:r>
        <w:t xml:space="preserve"> necessarily pool together resources that are noncontiguous. </w:t>
      </w:r>
    </w:p>
    <w:p w14:paraId="5A75F547" w14:textId="2A766EED" w:rsidR="00EF74F2" w:rsidRDefault="00EF74F2" w:rsidP="00EF74F2">
      <w:pPr>
        <w:overflowPunct/>
        <w:autoSpaceDE/>
        <w:autoSpaceDN/>
        <w:adjustRightInd/>
        <w:spacing w:before="120" w:after="120" w:line="276" w:lineRule="auto"/>
        <w:jc w:val="both"/>
        <w:textAlignment w:val="auto"/>
        <w:rPr>
          <w:lang w:eastAsia="zh-CN"/>
        </w:rPr>
      </w:pPr>
      <w:r>
        <w:rPr>
          <w:lang w:eastAsia="zh-CN"/>
        </w:rPr>
        <w:t>Two options emerge in such a scenario</w:t>
      </w:r>
      <w:r w:rsidR="000F7B85">
        <w:rPr>
          <w:lang w:eastAsia="zh-CN"/>
        </w:rPr>
        <w:t xml:space="preserve">, as show in </w:t>
      </w:r>
      <w:r w:rsidR="000F7B85">
        <w:rPr>
          <w:lang w:eastAsia="zh-CN"/>
        </w:rPr>
        <w:fldChar w:fldCharType="begin"/>
      </w:r>
      <w:r w:rsidR="000F7B85">
        <w:rPr>
          <w:lang w:eastAsia="zh-CN"/>
        </w:rPr>
        <w:instrText xml:space="preserve"> REF _Ref68609735 \h </w:instrText>
      </w:r>
      <w:r w:rsidR="000F7B85">
        <w:rPr>
          <w:lang w:eastAsia="zh-CN"/>
        </w:rPr>
      </w:r>
      <w:r w:rsidR="000F7B85">
        <w:rPr>
          <w:lang w:eastAsia="zh-CN"/>
        </w:rPr>
        <w:fldChar w:fldCharType="separate"/>
      </w:r>
      <w:r w:rsidR="000F7B85">
        <w:t xml:space="preserve">Figure </w:t>
      </w:r>
      <w:r w:rsidR="000F7B85">
        <w:rPr>
          <w:noProof/>
        </w:rPr>
        <w:t>2</w:t>
      </w:r>
      <w:r w:rsidR="000F7B85">
        <w:rPr>
          <w:lang w:eastAsia="zh-CN"/>
        </w:rPr>
        <w:fldChar w:fldCharType="end"/>
      </w:r>
      <w:r>
        <w:rPr>
          <w:lang w:eastAsia="zh-CN"/>
        </w:rPr>
        <w:t>. One can either pool resources across 4 uplink slots and view them as a single contiguous resource of 56 symbols, and setup a contiguous PUSCH transmission going across all 4 slots or alternately, one may view resources across these 4 uplink slots as 4 segments of a single TBoMS transmission and take a modular approach to setting up the TBoMS transmission by viewing this as 4 separate segments of a TBoMS transmission.</w:t>
      </w:r>
      <w:r w:rsidR="00EB3B21">
        <w:rPr>
          <w:lang w:eastAsia="zh-CN"/>
        </w:rPr>
        <w:t xml:space="preserve"> In addition, each segment can be self-contained i.e., transmission in the segment has its own RV.</w:t>
      </w:r>
    </w:p>
    <w:p w14:paraId="6BB3594E" w14:textId="77777777" w:rsidR="00EF74F2" w:rsidRDefault="00EF74F2" w:rsidP="00366C1C"/>
    <w:p w14:paraId="1E821AF4" w14:textId="132F9E96" w:rsidR="008D23FB" w:rsidRDefault="000F7B85" w:rsidP="008D23FB">
      <w:pPr>
        <w:keepNext/>
        <w:jc w:val="center"/>
      </w:pPr>
      <w:r>
        <w:rPr>
          <w:noProof/>
        </w:rPr>
        <w:drawing>
          <wp:inline distT="0" distB="0" distL="0" distR="0" wp14:anchorId="388592E1" wp14:editId="6A39B864">
            <wp:extent cx="6021396" cy="25905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51271" cy="2603422"/>
                    </a:xfrm>
                    <a:prstGeom prst="rect">
                      <a:avLst/>
                    </a:prstGeom>
                    <a:noFill/>
                  </pic:spPr>
                </pic:pic>
              </a:graphicData>
            </a:graphic>
          </wp:inline>
        </w:drawing>
      </w:r>
    </w:p>
    <w:p w14:paraId="5EE0A4A1" w14:textId="2A4EB87E" w:rsidR="00366C1C" w:rsidRDefault="008D23FB" w:rsidP="008D23FB">
      <w:pPr>
        <w:pStyle w:val="Caption"/>
        <w:jc w:val="center"/>
      </w:pPr>
      <w:bookmarkStart w:id="2" w:name="_Ref68609735"/>
      <w:r>
        <w:t xml:space="preserve">Figure </w:t>
      </w:r>
      <w:r>
        <w:fldChar w:fldCharType="begin"/>
      </w:r>
      <w:r>
        <w:instrText xml:space="preserve"> SEQ Figure \* ARABIC </w:instrText>
      </w:r>
      <w:r>
        <w:fldChar w:fldCharType="separate"/>
      </w:r>
      <w:r w:rsidR="005E4C14">
        <w:rPr>
          <w:noProof/>
        </w:rPr>
        <w:t>2</w:t>
      </w:r>
      <w:r>
        <w:fldChar w:fldCharType="end"/>
      </w:r>
      <w:bookmarkEnd w:id="2"/>
      <w:r>
        <w:t xml:space="preserve"> Two approaches to pooling resources across </w:t>
      </w:r>
      <w:proofErr w:type="spellStart"/>
      <w:r>
        <w:t>noncontiguous</w:t>
      </w:r>
      <w:proofErr w:type="spellEnd"/>
      <w:r>
        <w:t xml:space="preserve"> slots</w:t>
      </w:r>
      <w:r w:rsidR="000F7B85" w:rsidRPr="000F7B85">
        <w:rPr>
          <w:rFonts w:eastAsia="SimSun"/>
          <w:i w:val="0"/>
          <w:iCs w:val="0"/>
          <w:noProof/>
          <w:color w:val="auto"/>
          <w:sz w:val="20"/>
          <w:szCs w:val="20"/>
          <w:lang w:val="en-US"/>
        </w:rPr>
        <w:t xml:space="preserve"> </w:t>
      </w:r>
    </w:p>
    <w:p w14:paraId="2BD17F18" w14:textId="38789B25" w:rsidR="00E8739F" w:rsidRDefault="00E8739F" w:rsidP="00366C1C">
      <w:pPr>
        <w:overflowPunct/>
        <w:autoSpaceDE/>
        <w:autoSpaceDN/>
        <w:adjustRightInd/>
        <w:spacing w:before="120" w:after="120" w:line="276" w:lineRule="auto"/>
        <w:jc w:val="both"/>
        <w:textAlignment w:val="auto"/>
        <w:rPr>
          <w:lang w:eastAsia="zh-CN"/>
        </w:rPr>
      </w:pPr>
      <w:r>
        <w:rPr>
          <w:lang w:eastAsia="zh-CN"/>
        </w:rPr>
        <w:t xml:space="preserve">The modular approach is our preferred choice since it </w:t>
      </w:r>
      <w:r w:rsidR="00F521B6">
        <w:rPr>
          <w:lang w:eastAsia="zh-CN"/>
        </w:rPr>
        <w:t>helps TBoMS coexist with several other spec features and is also implementation friendly. We elaborate further on these aspect in the subsequent sections.</w:t>
      </w:r>
    </w:p>
    <w:p w14:paraId="330F609D" w14:textId="28291F5B" w:rsidR="00F521B6" w:rsidRDefault="00F521B6" w:rsidP="00366C1C">
      <w:pPr>
        <w:overflowPunct/>
        <w:autoSpaceDE/>
        <w:autoSpaceDN/>
        <w:adjustRightInd/>
        <w:spacing w:before="120" w:after="120" w:line="276" w:lineRule="auto"/>
        <w:jc w:val="both"/>
        <w:textAlignment w:val="auto"/>
        <w:rPr>
          <w:lang w:eastAsia="zh-CN"/>
        </w:rPr>
      </w:pPr>
      <w:r w:rsidRPr="00F521B6">
        <w:rPr>
          <w:b/>
          <w:lang w:eastAsia="zh-CN"/>
        </w:rPr>
        <w:t>Proposal</w:t>
      </w:r>
      <w:r w:rsidR="00574132">
        <w:rPr>
          <w:b/>
          <w:lang w:eastAsia="zh-CN"/>
        </w:rPr>
        <w:t xml:space="preserve"> 2</w:t>
      </w:r>
      <w:r w:rsidRPr="00F521B6">
        <w:rPr>
          <w:b/>
          <w:lang w:eastAsia="zh-CN"/>
        </w:rPr>
        <w:t>:</w:t>
      </w:r>
      <w:r>
        <w:rPr>
          <w:lang w:eastAsia="zh-CN"/>
        </w:rPr>
        <w:t xml:space="preserve"> Prioritize a modular approach to TBoMS transmission, i.e., when resources for TBoMS span across multiple contiguous/noncontiguous slots, view resources in each slot as one self-contained segment of a longer transmission.</w:t>
      </w:r>
    </w:p>
    <w:p w14:paraId="6318A379" w14:textId="43444587" w:rsidR="00E8739F" w:rsidRDefault="00E8739F" w:rsidP="00366C1C">
      <w:pPr>
        <w:overflowPunct/>
        <w:autoSpaceDE/>
        <w:autoSpaceDN/>
        <w:adjustRightInd/>
        <w:spacing w:before="120" w:after="120" w:line="276" w:lineRule="auto"/>
        <w:jc w:val="both"/>
        <w:textAlignment w:val="auto"/>
        <w:rPr>
          <w:lang w:eastAsia="zh-CN"/>
        </w:rPr>
      </w:pPr>
    </w:p>
    <w:p w14:paraId="2D2C2D74" w14:textId="77777777" w:rsidR="00E8739F" w:rsidRDefault="00E8739F" w:rsidP="00366C1C">
      <w:pPr>
        <w:overflowPunct/>
        <w:autoSpaceDE/>
        <w:autoSpaceDN/>
        <w:adjustRightInd/>
        <w:spacing w:before="120" w:after="120" w:line="276" w:lineRule="auto"/>
        <w:jc w:val="both"/>
        <w:textAlignment w:val="auto"/>
        <w:rPr>
          <w:lang w:eastAsia="zh-CN"/>
        </w:rPr>
      </w:pPr>
    </w:p>
    <w:p w14:paraId="7DBCC4EC" w14:textId="6CA79738" w:rsidR="00366C1C" w:rsidRDefault="00F521B6" w:rsidP="00F521B6">
      <w:pPr>
        <w:overflowPunct/>
        <w:autoSpaceDE/>
        <w:autoSpaceDN/>
        <w:adjustRightInd/>
        <w:spacing w:before="120" w:after="120" w:line="276" w:lineRule="auto"/>
        <w:jc w:val="both"/>
        <w:textAlignment w:val="auto"/>
        <w:rPr>
          <w:lang w:eastAsia="zh-CN"/>
        </w:rPr>
      </w:pPr>
      <w:r>
        <w:rPr>
          <w:lang w:eastAsia="zh-CN"/>
        </w:rPr>
        <w:t xml:space="preserve">This leads us to the </w:t>
      </w:r>
      <w:r w:rsidR="00366C1C">
        <w:rPr>
          <w:lang w:eastAsia="zh-CN"/>
        </w:rPr>
        <w:t xml:space="preserve">TDRA considerations that were discussed in the previous meeting. </w:t>
      </w:r>
      <w:proofErr w:type="gramStart"/>
      <w:r w:rsidR="00366C1C">
        <w:rPr>
          <w:lang w:eastAsia="zh-CN"/>
        </w:rPr>
        <w:t xml:space="preserve">In </w:t>
      </w:r>
      <w:r>
        <w:rPr>
          <w:lang w:eastAsia="zh-CN"/>
        </w:rPr>
        <w:t>particular</w:t>
      </w:r>
      <w:r w:rsidR="00366C1C">
        <w:rPr>
          <w:lang w:eastAsia="zh-CN"/>
        </w:rPr>
        <w:t>, RAN1</w:t>
      </w:r>
      <w:proofErr w:type="gramEnd"/>
      <w:r w:rsidR="00366C1C">
        <w:rPr>
          <w:lang w:eastAsia="zh-CN"/>
        </w:rPr>
        <w:t xml:space="preserve"> came to the following agreement in the last meeting:</w:t>
      </w:r>
    </w:p>
    <w:p w14:paraId="4DDB7EE8" w14:textId="77777777" w:rsidR="00366C1C" w:rsidRPr="00113975" w:rsidRDefault="00366C1C" w:rsidP="00366C1C">
      <w:pPr>
        <w:rPr>
          <w:b/>
          <w:bCs/>
        </w:rPr>
      </w:pPr>
      <w:r w:rsidRPr="00113975">
        <w:rPr>
          <w:lang w:eastAsia="zh-CN"/>
        </w:rPr>
        <w:t xml:space="preserve"> </w:t>
      </w:r>
      <w:r w:rsidRPr="00113975">
        <w:rPr>
          <w:b/>
          <w:bCs/>
          <w:highlight w:val="green"/>
        </w:rPr>
        <w:t>Agreement:</w:t>
      </w:r>
    </w:p>
    <w:p w14:paraId="78A056C8" w14:textId="77777777" w:rsidR="00366C1C" w:rsidRPr="000E112C" w:rsidRDefault="00366C1C" w:rsidP="00A160DC">
      <w:pPr>
        <w:numPr>
          <w:ilvl w:val="0"/>
          <w:numId w:val="30"/>
        </w:numPr>
        <w:overflowPunct/>
        <w:autoSpaceDE/>
        <w:autoSpaceDN/>
        <w:adjustRightInd/>
        <w:spacing w:after="0"/>
        <w:textAlignment w:val="auto"/>
      </w:pPr>
      <w:r w:rsidRPr="000E112C">
        <w:t>Consider one or two of the following options as starting points to design time domain resource determination of TBoMS</w:t>
      </w:r>
    </w:p>
    <w:p w14:paraId="3A2E21F4" w14:textId="77777777" w:rsidR="00366C1C" w:rsidRPr="00113975" w:rsidRDefault="00366C1C" w:rsidP="00A160DC">
      <w:pPr>
        <w:numPr>
          <w:ilvl w:val="1"/>
          <w:numId w:val="30"/>
        </w:numPr>
        <w:overflowPunct/>
        <w:autoSpaceDE/>
        <w:autoSpaceDN/>
        <w:adjustRightInd/>
        <w:spacing w:after="0"/>
        <w:textAlignment w:val="auto"/>
        <w:rPr>
          <w:color w:val="000000" w:themeColor="text1"/>
        </w:rPr>
      </w:pPr>
      <w:r w:rsidRPr="00113975">
        <w:rPr>
          <w:color w:val="000000" w:themeColor="text1"/>
        </w:rPr>
        <w:t>PUSCH repetition type A like TDRA, i.e., the number of allocated symbols is the same in each slot.</w:t>
      </w:r>
    </w:p>
    <w:p w14:paraId="16D96BAE" w14:textId="77777777" w:rsidR="00366C1C" w:rsidRDefault="00366C1C" w:rsidP="00A160DC">
      <w:pPr>
        <w:numPr>
          <w:ilvl w:val="1"/>
          <w:numId w:val="30"/>
        </w:numPr>
        <w:overflowPunct/>
        <w:autoSpaceDE/>
        <w:autoSpaceDN/>
        <w:adjustRightInd/>
        <w:spacing w:after="0"/>
        <w:textAlignment w:val="auto"/>
      </w:pPr>
      <w:r w:rsidRPr="000E112C">
        <w:t>PUSCH repetition type B like TDRA, i.e., the number of allocated symbols in each slot can be different</w:t>
      </w:r>
    </w:p>
    <w:p w14:paraId="18851821" w14:textId="77777777" w:rsidR="005A74CC" w:rsidRDefault="005A74CC" w:rsidP="00F521B6">
      <w:pPr>
        <w:overflowPunct/>
        <w:autoSpaceDE/>
        <w:autoSpaceDN/>
        <w:adjustRightInd/>
        <w:spacing w:before="120" w:after="120" w:line="276" w:lineRule="auto"/>
        <w:jc w:val="both"/>
        <w:textAlignment w:val="auto"/>
        <w:rPr>
          <w:lang w:eastAsia="zh-CN"/>
        </w:rPr>
      </w:pPr>
    </w:p>
    <w:p w14:paraId="48FEAA26" w14:textId="1C1637A2" w:rsidR="00F521B6" w:rsidRDefault="00F521B6" w:rsidP="00F521B6">
      <w:pPr>
        <w:overflowPunct/>
        <w:autoSpaceDE/>
        <w:autoSpaceDN/>
        <w:adjustRightInd/>
        <w:spacing w:before="120" w:after="120" w:line="276" w:lineRule="auto"/>
        <w:jc w:val="both"/>
        <w:textAlignment w:val="auto"/>
        <w:rPr>
          <w:lang w:eastAsia="zh-CN"/>
        </w:rPr>
      </w:pPr>
      <w:r>
        <w:rPr>
          <w:lang w:eastAsia="zh-CN"/>
        </w:rPr>
        <w:t xml:space="preserve">Note that with TDD slot patterns such DDDU, it is important to enable TBoMS across noncontiguous slots. This necessity, along with our desire for a modular approach for TBoMS, lead us to Type A TDRA as a natural starting point for TBoMS. This is illustrated </w:t>
      </w:r>
      <w:r w:rsidR="005A74CC">
        <w:rPr>
          <w:lang w:eastAsia="zh-CN"/>
        </w:rPr>
        <w:t xml:space="preserve">in </w:t>
      </w:r>
      <w:r w:rsidR="005A74CC">
        <w:rPr>
          <w:lang w:eastAsia="zh-CN"/>
        </w:rPr>
        <w:fldChar w:fldCharType="begin"/>
      </w:r>
      <w:r w:rsidR="005A74CC">
        <w:rPr>
          <w:lang w:eastAsia="zh-CN"/>
        </w:rPr>
        <w:instrText xml:space="preserve"> REF _Ref68610779 \h </w:instrText>
      </w:r>
      <w:r w:rsidR="005A74CC">
        <w:rPr>
          <w:lang w:eastAsia="zh-CN"/>
        </w:rPr>
      </w:r>
      <w:r w:rsidR="005A74CC">
        <w:rPr>
          <w:lang w:eastAsia="zh-CN"/>
        </w:rPr>
        <w:fldChar w:fldCharType="separate"/>
      </w:r>
      <w:r w:rsidR="005A74CC">
        <w:t xml:space="preserve">Figure </w:t>
      </w:r>
      <w:r w:rsidR="005A74CC">
        <w:rPr>
          <w:noProof/>
        </w:rPr>
        <w:t>3</w:t>
      </w:r>
      <w:r w:rsidR="005A74CC">
        <w:rPr>
          <w:lang w:eastAsia="zh-CN"/>
        </w:rPr>
        <w:fldChar w:fldCharType="end"/>
      </w:r>
      <w:r>
        <w:rPr>
          <w:lang w:eastAsia="zh-CN"/>
        </w:rPr>
        <w:t xml:space="preserve">, where a multi-slot transmission across noncontiguous slots is configured using Type A style repetition. With the enhancements to Type A </w:t>
      </w:r>
      <w:r w:rsidR="00017485">
        <w:rPr>
          <w:lang w:eastAsia="zh-CN"/>
        </w:rPr>
        <w:t>repetitions that are under consideration, this provides a rather powerful framework to reuse for TBoMS.</w:t>
      </w:r>
    </w:p>
    <w:p w14:paraId="59FA3FA6" w14:textId="77777777" w:rsidR="005A74CC" w:rsidRDefault="005A74CC" w:rsidP="005A74CC">
      <w:pPr>
        <w:keepNext/>
        <w:overflowPunct/>
        <w:autoSpaceDE/>
        <w:autoSpaceDN/>
        <w:adjustRightInd/>
        <w:spacing w:before="120" w:after="120" w:line="276" w:lineRule="auto"/>
        <w:jc w:val="center"/>
        <w:textAlignment w:val="auto"/>
      </w:pPr>
      <w:r>
        <w:rPr>
          <w:noProof/>
          <w:lang w:eastAsia="zh-CN"/>
        </w:rPr>
        <w:drawing>
          <wp:inline distT="0" distB="0" distL="0" distR="0" wp14:anchorId="44E77CAB" wp14:editId="69A785BB">
            <wp:extent cx="4369254" cy="1885003"/>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83655" cy="1891216"/>
                    </a:xfrm>
                    <a:prstGeom prst="rect">
                      <a:avLst/>
                    </a:prstGeom>
                    <a:noFill/>
                  </pic:spPr>
                </pic:pic>
              </a:graphicData>
            </a:graphic>
          </wp:inline>
        </w:drawing>
      </w:r>
    </w:p>
    <w:p w14:paraId="6CD24553" w14:textId="66ACEFB1" w:rsidR="00F521B6" w:rsidRDefault="005A74CC" w:rsidP="005A74CC">
      <w:pPr>
        <w:pStyle w:val="Caption"/>
        <w:jc w:val="center"/>
        <w:rPr>
          <w:lang w:eastAsia="zh-CN"/>
        </w:rPr>
      </w:pPr>
      <w:bookmarkStart w:id="3" w:name="_Ref68610779"/>
      <w:r>
        <w:t xml:space="preserve">Figure </w:t>
      </w:r>
      <w:r>
        <w:fldChar w:fldCharType="begin"/>
      </w:r>
      <w:r>
        <w:instrText xml:space="preserve"> SEQ Figure \* ARABIC </w:instrText>
      </w:r>
      <w:r>
        <w:fldChar w:fldCharType="separate"/>
      </w:r>
      <w:r w:rsidR="005E4C14">
        <w:rPr>
          <w:noProof/>
        </w:rPr>
        <w:t>3</w:t>
      </w:r>
      <w:r>
        <w:fldChar w:fldCharType="end"/>
      </w:r>
      <w:bookmarkEnd w:id="3"/>
      <w:r>
        <w:t xml:space="preserve"> Repurposing TDRA based on PUSCH Type A repetitions for TBoMS</w:t>
      </w:r>
    </w:p>
    <w:p w14:paraId="59BA72F8" w14:textId="3A7EB21A" w:rsidR="00F521B6" w:rsidRDefault="00F521B6" w:rsidP="00F521B6">
      <w:pPr>
        <w:overflowPunct/>
        <w:autoSpaceDE/>
        <w:autoSpaceDN/>
        <w:adjustRightInd/>
        <w:spacing w:before="120" w:after="120" w:line="276" w:lineRule="auto"/>
        <w:jc w:val="both"/>
        <w:textAlignment w:val="auto"/>
        <w:rPr>
          <w:lang w:eastAsia="zh-CN"/>
        </w:rPr>
      </w:pPr>
    </w:p>
    <w:p w14:paraId="60D96AA2" w14:textId="77777777" w:rsidR="00F521B6" w:rsidRDefault="00F521B6" w:rsidP="00F521B6">
      <w:pPr>
        <w:overflowPunct/>
        <w:autoSpaceDE/>
        <w:autoSpaceDN/>
        <w:adjustRightInd/>
        <w:spacing w:before="120" w:after="120" w:line="276" w:lineRule="auto"/>
        <w:jc w:val="both"/>
        <w:textAlignment w:val="auto"/>
        <w:rPr>
          <w:b/>
          <w:color w:val="000000" w:themeColor="text1"/>
          <w:lang w:eastAsia="zh-CN"/>
        </w:rPr>
      </w:pPr>
    </w:p>
    <w:p w14:paraId="0FDCC131" w14:textId="6114A8FD" w:rsidR="00F521B6" w:rsidRDefault="00017485" w:rsidP="00F521B6">
      <w:pPr>
        <w:overflowPunct/>
        <w:autoSpaceDE/>
        <w:autoSpaceDN/>
        <w:adjustRightInd/>
        <w:spacing w:before="120" w:after="120" w:line="276" w:lineRule="auto"/>
        <w:jc w:val="both"/>
        <w:textAlignment w:val="auto"/>
        <w:rPr>
          <w:lang w:eastAsia="zh-CN"/>
        </w:rPr>
      </w:pPr>
      <w:r>
        <w:rPr>
          <w:lang w:eastAsia="zh-CN"/>
        </w:rPr>
        <w:t>B</w:t>
      </w:r>
      <w:r w:rsidR="00F521B6">
        <w:rPr>
          <w:lang w:eastAsia="zh-CN"/>
        </w:rPr>
        <w:t>ased on the discussion above, we make the following proposal:</w:t>
      </w:r>
    </w:p>
    <w:p w14:paraId="22EC1D57" w14:textId="679F0982" w:rsidR="00F521B6" w:rsidRDefault="00F521B6" w:rsidP="00F521B6">
      <w:pPr>
        <w:overflowPunct/>
        <w:autoSpaceDE/>
        <w:autoSpaceDN/>
        <w:adjustRightInd/>
        <w:spacing w:before="120" w:after="120" w:line="276" w:lineRule="auto"/>
        <w:jc w:val="both"/>
        <w:textAlignment w:val="auto"/>
        <w:rPr>
          <w:lang w:eastAsia="zh-CN"/>
        </w:rPr>
      </w:pPr>
      <w:r w:rsidRPr="00113975">
        <w:rPr>
          <w:b/>
          <w:color w:val="000000" w:themeColor="text1"/>
          <w:lang w:eastAsia="zh-CN"/>
        </w:rPr>
        <w:t>Proposal</w:t>
      </w:r>
      <w:r w:rsidR="00574132">
        <w:rPr>
          <w:b/>
          <w:color w:val="000000" w:themeColor="text1"/>
          <w:lang w:eastAsia="zh-CN"/>
        </w:rPr>
        <w:t xml:space="preserve"> 3</w:t>
      </w:r>
      <w:r w:rsidRPr="00113975">
        <w:rPr>
          <w:b/>
          <w:color w:val="000000" w:themeColor="text1"/>
          <w:lang w:eastAsia="zh-CN"/>
        </w:rPr>
        <w:t xml:space="preserve">: </w:t>
      </w:r>
      <w:r>
        <w:rPr>
          <w:lang w:eastAsia="zh-CN"/>
        </w:rPr>
        <w:t>PUSCH repetition Type A serves as a starting point for time domain resource determination of TBoMS.</w:t>
      </w:r>
    </w:p>
    <w:p w14:paraId="2970F303" w14:textId="1ED6976B" w:rsidR="009A1EFD" w:rsidRDefault="00017485" w:rsidP="00017485">
      <w:pPr>
        <w:pStyle w:val="Heading2"/>
      </w:pPr>
      <w:r>
        <w:t>Building blocks for TBoMS</w:t>
      </w:r>
    </w:p>
    <w:p w14:paraId="3DBC4A67" w14:textId="15F2BA09" w:rsidR="00D7086E" w:rsidRDefault="00017485" w:rsidP="00016124">
      <w:pPr>
        <w:jc w:val="both"/>
      </w:pPr>
      <w:r>
        <w:t xml:space="preserve">It is important to establish what constitutes a transmission occasion of a TBoMS. Transmission occasion of a regular PUSCH transmission is governed by </w:t>
      </w:r>
      <w:r w:rsidR="008A2692">
        <w:t xml:space="preserve">the SLIV and the slot within which the transmission is to occur and this concept </w:t>
      </w:r>
      <w:r>
        <w:t>is extensively used in the current spec</w:t>
      </w:r>
      <w:r w:rsidR="008A2692">
        <w:t xml:space="preserve">. </w:t>
      </w:r>
      <w:r w:rsidR="0091288C">
        <w:t>Note that PUSCH repetitions are transmissions across different transmission occasions --- a transmission occasion serves as a fundamental unit upon which other frameworks are designed.</w:t>
      </w:r>
      <w:r w:rsidR="005A74CC">
        <w:t xml:space="preserve"> PUSCH power control loops, RV cycling, etc</w:t>
      </w:r>
      <w:r w:rsidR="00EB3B21">
        <w:t>.</w:t>
      </w:r>
      <w:r w:rsidR="005A74CC">
        <w:t>, are also developed on top of the concept of transmissions occasions.</w:t>
      </w:r>
      <w:r w:rsidR="00EB3B21">
        <w:t xml:space="preserve"> For instance, the transmission occasion is used in determining RV for a PUSCH transmission as specified in </w:t>
      </w:r>
      <w:r w:rsidR="00890742">
        <w:t>Subclause</w:t>
      </w:r>
      <w:r w:rsidR="00EB3B21">
        <w:t xml:space="preserve"> 6.1.2.1 of TS 38.214:</w:t>
      </w:r>
    </w:p>
    <w:p w14:paraId="7D8EFA1A" w14:textId="711DA750" w:rsidR="00EB3B21" w:rsidRDefault="00EB3B21" w:rsidP="001C2832">
      <w:pPr>
        <w:jc w:val="center"/>
      </w:pPr>
      <w:r w:rsidRPr="00401E14">
        <w:rPr>
          <w:noProof/>
        </w:rPr>
        <w:drawing>
          <wp:inline distT="0" distB="0" distL="0" distR="0" wp14:anchorId="19A8893F" wp14:editId="71A5FFFD">
            <wp:extent cx="4848996" cy="1092200"/>
            <wp:effectExtent l="0" t="0" r="889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81838" cy="1099597"/>
                    </a:xfrm>
                    <a:prstGeom prst="rect">
                      <a:avLst/>
                    </a:prstGeom>
                  </pic:spPr>
                </pic:pic>
              </a:graphicData>
            </a:graphic>
          </wp:inline>
        </w:drawing>
      </w:r>
    </w:p>
    <w:p w14:paraId="6D3FC069" w14:textId="357255E2" w:rsidR="0091288C" w:rsidRDefault="008A2692" w:rsidP="0091288C">
      <w:pPr>
        <w:jc w:val="both"/>
      </w:pPr>
      <w:r>
        <w:lastRenderedPageBreak/>
        <w:t>For TBoMS, two broad directions emerge</w:t>
      </w:r>
      <w:r w:rsidR="005A74CC">
        <w:t xml:space="preserve">, as shown in </w:t>
      </w:r>
      <w:r w:rsidR="005A74CC">
        <w:fldChar w:fldCharType="begin"/>
      </w:r>
      <w:r w:rsidR="005A74CC">
        <w:instrText xml:space="preserve"> REF _Ref68611039 \h </w:instrText>
      </w:r>
      <w:r w:rsidR="005A74CC">
        <w:fldChar w:fldCharType="separate"/>
      </w:r>
      <w:r w:rsidR="005A74CC">
        <w:t xml:space="preserve">Figure </w:t>
      </w:r>
      <w:r w:rsidR="005A74CC">
        <w:rPr>
          <w:noProof/>
        </w:rPr>
        <w:t>4</w:t>
      </w:r>
      <w:r w:rsidR="005A74CC">
        <w:fldChar w:fldCharType="end"/>
      </w:r>
      <w:r>
        <w:t>.</w:t>
      </w:r>
      <w:r w:rsidR="0091288C">
        <w:t xml:space="preserve"> </w:t>
      </w:r>
      <w:r w:rsidR="0091288C" w:rsidRPr="0091288C">
        <w:t xml:space="preserve">A transmission occasion of a </w:t>
      </w:r>
      <w:r w:rsidR="0091288C">
        <w:t>T</w:t>
      </w:r>
      <w:r w:rsidR="00890742">
        <w:t>B</w:t>
      </w:r>
      <w:r w:rsidR="0091288C">
        <w:t>oMS</w:t>
      </w:r>
      <w:r w:rsidR="0091288C" w:rsidRPr="0091288C">
        <w:t xml:space="preserve"> constitutes</w:t>
      </w:r>
      <w:r w:rsidR="0091288C">
        <w:t>:</w:t>
      </w:r>
    </w:p>
    <w:p w14:paraId="4D2B2DD5" w14:textId="636901D1" w:rsidR="0091288C" w:rsidRDefault="0091288C" w:rsidP="00A160DC">
      <w:pPr>
        <w:pStyle w:val="ListParagraph"/>
        <w:numPr>
          <w:ilvl w:val="0"/>
          <w:numId w:val="31"/>
        </w:numPr>
        <w:jc w:val="both"/>
      </w:pPr>
      <w:r w:rsidRPr="0091288C">
        <w:t xml:space="preserve">Option (a): one set of contiguous resources (symbols) spanning one or more slots </w:t>
      </w:r>
    </w:p>
    <w:p w14:paraId="12D5C2B5" w14:textId="6848D549" w:rsidR="008A2692" w:rsidRDefault="0091288C" w:rsidP="00A160DC">
      <w:pPr>
        <w:pStyle w:val="ListParagraph"/>
        <w:numPr>
          <w:ilvl w:val="0"/>
          <w:numId w:val="31"/>
        </w:numPr>
        <w:jc w:val="both"/>
      </w:pPr>
      <w:r w:rsidRPr="0091288C">
        <w:t>Option (b): multiple sets of disjoint contiguous resources</w:t>
      </w:r>
    </w:p>
    <w:p w14:paraId="17C79CE3" w14:textId="77777777" w:rsidR="005A74CC" w:rsidRDefault="0091288C" w:rsidP="005A74CC">
      <w:pPr>
        <w:keepNext/>
        <w:jc w:val="center"/>
      </w:pPr>
      <w:r>
        <w:rPr>
          <w:noProof/>
        </w:rPr>
        <w:drawing>
          <wp:inline distT="0" distB="0" distL="0" distR="0" wp14:anchorId="56288B7A" wp14:editId="2E839823">
            <wp:extent cx="5734685" cy="148301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3678" cy="1503440"/>
                    </a:xfrm>
                    <a:prstGeom prst="rect">
                      <a:avLst/>
                    </a:prstGeom>
                    <a:noFill/>
                  </pic:spPr>
                </pic:pic>
              </a:graphicData>
            </a:graphic>
          </wp:inline>
        </w:drawing>
      </w:r>
    </w:p>
    <w:p w14:paraId="7A8BD8D4" w14:textId="7EBB54F6" w:rsidR="008A2692" w:rsidRDefault="005A74CC" w:rsidP="005A74CC">
      <w:pPr>
        <w:pStyle w:val="Caption"/>
        <w:jc w:val="center"/>
      </w:pPr>
      <w:bookmarkStart w:id="4" w:name="_Ref68611039"/>
      <w:r>
        <w:t xml:space="preserve">Figure </w:t>
      </w:r>
      <w:r>
        <w:fldChar w:fldCharType="begin"/>
      </w:r>
      <w:r>
        <w:instrText xml:space="preserve"> SEQ Figure \* ARABIC </w:instrText>
      </w:r>
      <w:r>
        <w:fldChar w:fldCharType="separate"/>
      </w:r>
      <w:r w:rsidR="005E4C14">
        <w:rPr>
          <w:noProof/>
        </w:rPr>
        <w:t>4</w:t>
      </w:r>
      <w:r>
        <w:fldChar w:fldCharType="end"/>
      </w:r>
      <w:bookmarkEnd w:id="4"/>
      <w:r>
        <w:t xml:space="preserve"> Two options for defining the transmission occasion of TBoMS</w:t>
      </w:r>
    </w:p>
    <w:p w14:paraId="31F8A876" w14:textId="2388CACE" w:rsidR="0024472E" w:rsidRDefault="0024472E" w:rsidP="005A74CC">
      <w:pPr>
        <w:keepNext/>
        <w:jc w:val="both"/>
      </w:pPr>
      <w:r w:rsidRPr="0024472E">
        <w:t xml:space="preserve">As previously stated, a modular approach to TBoMS is a desired design objective. </w:t>
      </w:r>
      <w:r>
        <w:t>A transmission occasion that spans across multiple noncontiguous resources (as in the case of Option (b)</w:t>
      </w:r>
      <w:r w:rsidR="005A74CC">
        <w:t>)</w:t>
      </w:r>
      <w:r>
        <w:t xml:space="preserve"> deviates from this design objective and poses several challenges</w:t>
      </w:r>
      <w:r w:rsidR="0089760F">
        <w:t xml:space="preserve"> as discussed below:</w:t>
      </w:r>
    </w:p>
    <w:p w14:paraId="05FC72D1" w14:textId="77777777" w:rsidR="005A74CC" w:rsidRDefault="0089760F" w:rsidP="005A74CC">
      <w:pPr>
        <w:keepNext/>
        <w:jc w:val="center"/>
      </w:pPr>
      <w:r>
        <w:rPr>
          <w:noProof/>
        </w:rPr>
        <w:drawing>
          <wp:inline distT="0" distB="0" distL="0" distR="0" wp14:anchorId="3E5EDDA0" wp14:editId="3E663232">
            <wp:extent cx="5823585" cy="133767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0219" cy="1348384"/>
                    </a:xfrm>
                    <a:prstGeom prst="rect">
                      <a:avLst/>
                    </a:prstGeom>
                    <a:noFill/>
                  </pic:spPr>
                </pic:pic>
              </a:graphicData>
            </a:graphic>
          </wp:inline>
        </w:drawing>
      </w:r>
    </w:p>
    <w:p w14:paraId="488D5989" w14:textId="704808C2" w:rsidR="0089760F" w:rsidRDefault="005A74CC" w:rsidP="005A74CC">
      <w:pPr>
        <w:pStyle w:val="Caption"/>
        <w:jc w:val="center"/>
      </w:pPr>
      <w:r>
        <w:t xml:space="preserve">Figure </w:t>
      </w:r>
      <w:r>
        <w:fldChar w:fldCharType="begin"/>
      </w:r>
      <w:r>
        <w:instrText xml:space="preserve"> SEQ Figure \* ARABIC </w:instrText>
      </w:r>
      <w:r>
        <w:fldChar w:fldCharType="separate"/>
      </w:r>
      <w:r w:rsidR="005E4C14">
        <w:rPr>
          <w:noProof/>
        </w:rPr>
        <w:t>5</w:t>
      </w:r>
      <w:r>
        <w:fldChar w:fldCharType="end"/>
      </w:r>
      <w:r>
        <w:t xml:space="preserve"> Challenges with TBoMS transmission occasions that span across </w:t>
      </w:r>
      <w:proofErr w:type="spellStart"/>
      <w:r>
        <w:t>nonconsecutive</w:t>
      </w:r>
      <w:proofErr w:type="spellEnd"/>
      <w:r>
        <w:t xml:space="preserve"> slots.</w:t>
      </w:r>
    </w:p>
    <w:p w14:paraId="28890044" w14:textId="6833CA51" w:rsidR="0089760F" w:rsidRPr="0089760F" w:rsidRDefault="0089760F" w:rsidP="00A160DC">
      <w:pPr>
        <w:pStyle w:val="ListParagraph"/>
        <w:keepNext/>
        <w:numPr>
          <w:ilvl w:val="0"/>
          <w:numId w:val="32"/>
        </w:numPr>
        <w:tabs>
          <w:tab w:val="num" w:pos="2160"/>
        </w:tabs>
        <w:jc w:val="both"/>
      </w:pPr>
      <w:r w:rsidRPr="0089760F">
        <w:rPr>
          <w:b/>
        </w:rPr>
        <w:t>Rate-matching now spans multiple slots &amp; requires UE to maintain encoding state across noncontiguous slots.</w:t>
      </w:r>
      <w:r>
        <w:t xml:space="preserve"> N</w:t>
      </w:r>
      <w:r w:rsidRPr="0089760F">
        <w:t xml:space="preserve">ote that </w:t>
      </w:r>
      <w:r w:rsidR="005E4C14">
        <w:t xml:space="preserve">an </w:t>
      </w:r>
      <w:r w:rsidRPr="0089760F">
        <w:t>SBPM interleaver spans the entire set of rate-matched bits</w:t>
      </w:r>
      <w:r>
        <w:t xml:space="preserve">, thus an interleaved bit sequence is to be transmitted across noncontiguous slots. </w:t>
      </w:r>
      <w:r w:rsidRPr="0089760F">
        <w:t>This has significant implementation impact on rate matching</w:t>
      </w:r>
      <w:r>
        <w:t>, interleaving,</w:t>
      </w:r>
      <w:r w:rsidRPr="0089760F">
        <w:t xml:space="preserve"> and circular buffer management</w:t>
      </w:r>
      <w:r>
        <w:t>.</w:t>
      </w:r>
    </w:p>
    <w:p w14:paraId="1F264805" w14:textId="358FE5B4" w:rsidR="0089760F" w:rsidRPr="0089760F" w:rsidRDefault="0089760F" w:rsidP="00A160DC">
      <w:pPr>
        <w:pStyle w:val="ListParagraph"/>
        <w:keepNext/>
        <w:numPr>
          <w:ilvl w:val="0"/>
          <w:numId w:val="32"/>
        </w:numPr>
        <w:tabs>
          <w:tab w:val="num" w:pos="2160"/>
        </w:tabs>
        <w:jc w:val="both"/>
      </w:pPr>
      <w:r w:rsidRPr="0089760F">
        <w:rPr>
          <w:b/>
        </w:rPr>
        <w:t>UCI multiplexing decisions impact entire transmission occasion.</w:t>
      </w:r>
      <w:r>
        <w:t xml:space="preserve"> Consider the case where a PUCCH overlap occurs towards the end of a transmission occasion. Even though this overlap occurs in a latter slot, all earlier slots involved in the transmission are impacted. </w:t>
      </w:r>
      <w:r w:rsidRPr="0089760F">
        <w:t xml:space="preserve">Aspects of UCI overlap may need to be </w:t>
      </w:r>
      <w:r>
        <w:t>resolved</w:t>
      </w:r>
      <w:r w:rsidRPr="0089760F">
        <w:t xml:space="preserve"> even prior to start of the transmission occasion</w:t>
      </w:r>
      <w:r>
        <w:t xml:space="preserve"> and</w:t>
      </w:r>
      <w:r w:rsidRPr="0089760F">
        <w:t xml:space="preserve"> it may not be practical to plan this far ahead in time</w:t>
      </w:r>
      <w:r>
        <w:t>.</w:t>
      </w:r>
    </w:p>
    <w:p w14:paraId="5FE70B09" w14:textId="002C97A0" w:rsidR="0089760F" w:rsidRPr="0089760F" w:rsidRDefault="0089760F" w:rsidP="00A160DC">
      <w:pPr>
        <w:pStyle w:val="ListParagraph"/>
        <w:keepNext/>
        <w:numPr>
          <w:ilvl w:val="0"/>
          <w:numId w:val="32"/>
        </w:numPr>
        <w:tabs>
          <w:tab w:val="num" w:pos="2160"/>
        </w:tabs>
        <w:jc w:val="both"/>
      </w:pPr>
      <w:r w:rsidRPr="0089760F">
        <w:rPr>
          <w:b/>
        </w:rPr>
        <w:t xml:space="preserve">Cancellation of a few symbols impacts entire transmission occasion. </w:t>
      </w:r>
      <w:r w:rsidRPr="0089760F">
        <w:t>Resuming transmissions in subsequent slots of a transmission occasion is challenging</w:t>
      </w:r>
      <w:r>
        <w:t>. A design that lets us resume transmission in subsequent slots is desired.</w:t>
      </w:r>
    </w:p>
    <w:p w14:paraId="211299AC" w14:textId="51E6B1E4" w:rsidR="0089760F" w:rsidRPr="0089760F" w:rsidRDefault="0089760F" w:rsidP="00A160DC">
      <w:pPr>
        <w:pStyle w:val="ListParagraph"/>
        <w:keepNext/>
        <w:numPr>
          <w:ilvl w:val="0"/>
          <w:numId w:val="32"/>
        </w:numPr>
        <w:jc w:val="both"/>
      </w:pPr>
      <w:r w:rsidRPr="0089760F">
        <w:rPr>
          <w:b/>
        </w:rPr>
        <w:t>A missed DCI (for e.g., carrying ULCI) impacts transmission across the entire TO</w:t>
      </w:r>
      <w:r>
        <w:t>. This is a particularly important consideration for a cell-edge UE that is under challenging channel conditions.</w:t>
      </w:r>
    </w:p>
    <w:p w14:paraId="0903F5C8" w14:textId="66182196" w:rsidR="0089760F" w:rsidRPr="0089760F" w:rsidRDefault="0089760F" w:rsidP="00A160DC">
      <w:pPr>
        <w:pStyle w:val="ListParagraph"/>
        <w:keepNext/>
        <w:numPr>
          <w:ilvl w:val="0"/>
          <w:numId w:val="32"/>
        </w:numPr>
        <w:tabs>
          <w:tab w:val="num" w:pos="2160"/>
        </w:tabs>
        <w:jc w:val="both"/>
      </w:pPr>
      <w:r w:rsidRPr="0089760F">
        <w:rPr>
          <w:b/>
        </w:rPr>
        <w:t>UE may need to handle other intervening uplink transmissions before a PUSCH transmission is completed</w:t>
      </w:r>
      <w:r>
        <w:t>. T</w:t>
      </w:r>
      <w:r w:rsidRPr="0089760F">
        <w:t>his requires more complex state management and has significant</w:t>
      </w:r>
      <w:r w:rsidR="00890742">
        <w:t xml:space="preserve"> UE</w:t>
      </w:r>
      <w:r w:rsidRPr="0089760F">
        <w:t xml:space="preserve"> implementation impact</w:t>
      </w:r>
      <w:r>
        <w:t>.</w:t>
      </w:r>
    </w:p>
    <w:p w14:paraId="008D0827" w14:textId="30A61797" w:rsidR="004A4A1E" w:rsidRDefault="00C74CCF" w:rsidP="005E4C14">
      <w:pPr>
        <w:keepNext/>
        <w:jc w:val="both"/>
      </w:pPr>
      <w:r>
        <w:t xml:space="preserve">These challenges motivate us to focus on transmission occasions that only contain contiguous resources. To </w:t>
      </w:r>
      <w:r w:rsidR="004A4A1E">
        <w:t xml:space="preserve">clarify and ensure TBoMS is supported across noncontiguous slots, we wish to restate that a TBoMS can be a </w:t>
      </w:r>
      <w:r w:rsidR="00890434">
        <w:t xml:space="preserve">series </w:t>
      </w:r>
      <w:r w:rsidR="004A4A1E">
        <w:t>of modular transmissions</w:t>
      </w:r>
      <w:r w:rsidR="00890434">
        <w:t xml:space="preserve">. </w:t>
      </w:r>
      <w:proofErr w:type="gramStart"/>
      <w:r w:rsidR="00890434">
        <w:t>In particular, a</w:t>
      </w:r>
      <w:proofErr w:type="gramEnd"/>
      <w:r w:rsidR="00890434">
        <w:t xml:space="preserve"> TBoMS</w:t>
      </w:r>
      <w:r>
        <w:t xml:space="preserve"> transmission can</w:t>
      </w:r>
      <w:r w:rsidR="00890434">
        <w:t xml:space="preserve"> constitute an initial PUSCH transmission across a first transmission occasion followed </w:t>
      </w:r>
      <w:r>
        <w:t xml:space="preserve">by </w:t>
      </w:r>
      <w:r w:rsidR="00890434">
        <w:t xml:space="preserve">subsequent </w:t>
      </w:r>
      <w:r>
        <w:t xml:space="preserve">transmissions on </w:t>
      </w:r>
      <w:r w:rsidR="00890434">
        <w:t>transmission occasions</w:t>
      </w:r>
      <w:r>
        <w:t xml:space="preserve"> that occur later in time</w:t>
      </w:r>
      <w:r w:rsidR="00890434">
        <w:t>.</w:t>
      </w:r>
      <w:r w:rsidR="00890742">
        <w:t xml:space="preserve"> </w:t>
      </w:r>
      <w:r w:rsidR="00890742">
        <w:lastRenderedPageBreak/>
        <w:t>In other word</w:t>
      </w:r>
      <w:r w:rsidR="005F43FC">
        <w:t>s</w:t>
      </w:r>
      <w:r w:rsidR="00890742">
        <w:t>, TBoMS transmission includes PUSCH transmissions carrying a TB over one or multiple transmission occasions.</w:t>
      </w:r>
      <w:r w:rsidR="00890434">
        <w:t xml:space="preserve"> This is captured i</w:t>
      </w:r>
      <w:r w:rsidR="005E4C14">
        <w:t xml:space="preserve">n </w:t>
      </w:r>
      <w:r w:rsidR="005E4C14">
        <w:fldChar w:fldCharType="begin"/>
      </w:r>
      <w:r w:rsidR="005E4C14">
        <w:instrText xml:space="preserve"> REF _Ref68614615 \h  \* MERGEFORMAT </w:instrText>
      </w:r>
      <w:r w:rsidR="005E4C14">
        <w:fldChar w:fldCharType="separate"/>
      </w:r>
      <w:r w:rsidR="005E4C14">
        <w:t xml:space="preserve">Figure </w:t>
      </w:r>
      <w:r w:rsidR="005E4C14">
        <w:rPr>
          <w:noProof/>
        </w:rPr>
        <w:t>6</w:t>
      </w:r>
      <w:r w:rsidR="005E4C14">
        <w:fldChar w:fldCharType="end"/>
      </w:r>
      <w:r w:rsidR="00890742">
        <w:t xml:space="preserve"> </w:t>
      </w:r>
      <w:r w:rsidR="005F43FC">
        <w:t>where TB transmission across 4 transmission occasions is illustrated</w:t>
      </w:r>
      <w:r>
        <w:t>.</w:t>
      </w:r>
    </w:p>
    <w:p w14:paraId="29BE83B3" w14:textId="39D91D97" w:rsidR="00C74CCF" w:rsidRDefault="00C74CCF" w:rsidP="00C74CCF">
      <w:pPr>
        <w:keepNext/>
        <w:jc w:val="center"/>
      </w:pPr>
      <w:r>
        <w:rPr>
          <w:noProof/>
        </w:rPr>
        <w:drawing>
          <wp:inline distT="0" distB="0" distL="0" distR="0" wp14:anchorId="3B84261F" wp14:editId="13052E67">
            <wp:extent cx="5645689" cy="139645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534" cy="1411010"/>
                    </a:xfrm>
                    <a:prstGeom prst="rect">
                      <a:avLst/>
                    </a:prstGeom>
                    <a:noFill/>
                  </pic:spPr>
                </pic:pic>
              </a:graphicData>
            </a:graphic>
          </wp:inline>
        </w:drawing>
      </w:r>
    </w:p>
    <w:p w14:paraId="466B8B90" w14:textId="67BE6C40" w:rsidR="00017485" w:rsidRDefault="00C74CCF" w:rsidP="00C74CCF">
      <w:pPr>
        <w:pStyle w:val="Caption"/>
        <w:jc w:val="center"/>
      </w:pPr>
      <w:bookmarkStart w:id="5" w:name="_Ref68614615"/>
      <w:r>
        <w:t xml:space="preserve">Figure </w:t>
      </w:r>
      <w:r>
        <w:fldChar w:fldCharType="begin"/>
      </w:r>
      <w:r>
        <w:instrText xml:space="preserve"> SEQ Figure \* ARABIC </w:instrText>
      </w:r>
      <w:r>
        <w:fldChar w:fldCharType="separate"/>
      </w:r>
      <w:r w:rsidR="005E4C14">
        <w:rPr>
          <w:noProof/>
        </w:rPr>
        <w:t>6</w:t>
      </w:r>
      <w:r>
        <w:fldChar w:fldCharType="end"/>
      </w:r>
      <w:bookmarkEnd w:id="5"/>
      <w:r>
        <w:t xml:space="preserve"> A TBoMS transmission --- constitutes 4 separate segments each encapsulated by a transmission occasion. This can be viewed as 4 repetitions with RV cycling.</w:t>
      </w:r>
    </w:p>
    <w:p w14:paraId="4B21740D" w14:textId="00438E14" w:rsidR="00C74CCF" w:rsidRDefault="005E4C14" w:rsidP="005E4C14">
      <w:pPr>
        <w:keepNext/>
        <w:jc w:val="both"/>
      </w:pPr>
      <w:r>
        <w:t>Th</w:t>
      </w:r>
      <w:r w:rsidR="00C74CCF">
        <w:t xml:space="preserve">e </w:t>
      </w:r>
      <w:r>
        <w:t xml:space="preserve">existing framework for PUSCH </w:t>
      </w:r>
      <w:r w:rsidR="00C74CCF">
        <w:t>repetition and RV cyclin</w:t>
      </w:r>
      <w:r>
        <w:t xml:space="preserve">g provides a natural path to setting up such transmissions. </w:t>
      </w:r>
    </w:p>
    <w:p w14:paraId="061AA09E" w14:textId="76D1DD7C" w:rsidR="00C74CCF" w:rsidRDefault="005E4C14" w:rsidP="005E4C14">
      <w:pPr>
        <w:keepNext/>
        <w:jc w:val="both"/>
        <w:rPr>
          <w:b/>
        </w:rPr>
      </w:pPr>
      <w:r>
        <w:t xml:space="preserve">Based on the discussions and observations made in this section, </w:t>
      </w:r>
      <w:r w:rsidR="00C74CCF">
        <w:t>we propose the following:</w:t>
      </w:r>
    </w:p>
    <w:p w14:paraId="4690830C" w14:textId="367B5479" w:rsidR="00C74CCF" w:rsidRPr="005E4C14" w:rsidRDefault="00C74CCF" w:rsidP="005E4C14">
      <w:pPr>
        <w:keepNext/>
        <w:jc w:val="both"/>
      </w:pPr>
      <w:r w:rsidRPr="005E4C14">
        <w:rPr>
          <w:b/>
        </w:rPr>
        <w:t>Proposal</w:t>
      </w:r>
      <w:r w:rsidR="00574132">
        <w:rPr>
          <w:b/>
        </w:rPr>
        <w:t xml:space="preserve"> 4</w:t>
      </w:r>
      <w:r w:rsidRPr="005E4C14">
        <w:rPr>
          <w:b/>
        </w:rPr>
        <w:t>:</w:t>
      </w:r>
      <w:r w:rsidRPr="005E4C14">
        <w:t xml:space="preserve"> A transmission occasion of a TBoMS transmission constitutes a set of contiguous resources (symbols) spanning one or more slots. A TBoMS transmission</w:t>
      </w:r>
      <w:r w:rsidR="005E4C14" w:rsidRPr="005E4C14">
        <w:t xml:space="preserve"> can constitute </w:t>
      </w:r>
      <w:r w:rsidR="005E4C14">
        <w:t xml:space="preserve">transmissions across </w:t>
      </w:r>
      <w:r w:rsidR="005E4C14" w:rsidRPr="005E4C14">
        <w:t>one o</w:t>
      </w:r>
      <w:r w:rsidR="005E4C14">
        <w:t>r</w:t>
      </w:r>
      <w:r w:rsidR="005E4C14" w:rsidRPr="005E4C14">
        <w:t xml:space="preserve"> more transmission occasions. The PUSCH repetition</w:t>
      </w:r>
      <w:r w:rsidR="00890742">
        <w:t xml:space="preserve"> type A </w:t>
      </w:r>
      <w:r w:rsidR="005E4C14" w:rsidRPr="005E4C14">
        <w:t>and RV cycling framework</w:t>
      </w:r>
      <w:r w:rsidR="00890742">
        <w:t xml:space="preserve"> in </w:t>
      </w:r>
      <w:r w:rsidR="00890742" w:rsidRPr="005E4C14">
        <w:t>R15/R16</w:t>
      </w:r>
      <w:r w:rsidR="005E4C14" w:rsidRPr="005E4C14">
        <w:t xml:space="preserve"> is repurposed for TBoMS transmission across multiple transmission occasions. </w:t>
      </w:r>
    </w:p>
    <w:p w14:paraId="31003F4C" w14:textId="34647E99" w:rsidR="00C74CCF" w:rsidRDefault="00C74CCF" w:rsidP="001C2832">
      <w:pPr>
        <w:pStyle w:val="ListParagraph"/>
        <w:keepNext/>
        <w:numPr>
          <w:ilvl w:val="0"/>
          <w:numId w:val="34"/>
        </w:numPr>
        <w:jc w:val="both"/>
      </w:pPr>
      <w:r w:rsidRPr="005E4C14">
        <w:t>FFS: limits on maximum duration of a transmission occasion of a TBoMS</w:t>
      </w:r>
      <w:r w:rsidR="005E4C14">
        <w:t>.</w:t>
      </w:r>
    </w:p>
    <w:p w14:paraId="23B9C3C9" w14:textId="20B002C1" w:rsidR="00890434" w:rsidRDefault="00890434" w:rsidP="00890434">
      <w:pPr>
        <w:pStyle w:val="Heading2"/>
      </w:pPr>
      <w:r>
        <w:t>Interaction with RV Cycling</w:t>
      </w:r>
    </w:p>
    <w:p w14:paraId="41CB104F" w14:textId="664FE037" w:rsidR="00890434" w:rsidRDefault="00890434" w:rsidP="005E4C14">
      <w:pPr>
        <w:jc w:val="both"/>
        <w:rPr>
          <w:lang w:val="en-GB"/>
        </w:rPr>
      </w:pPr>
      <w:r>
        <w:rPr>
          <w:lang w:val="en-GB"/>
        </w:rPr>
        <w:t>The RV cycling framework forms a core aspect of modular TBoMS transmissions. RV indices provide a clear starting point for coded bits to be transmitted in any given segment of TBoMS. Note that the choices on RV cycling impacts rate matching and interleaving.</w:t>
      </w:r>
    </w:p>
    <w:p w14:paraId="215999FD" w14:textId="4FDB5936" w:rsidR="00890434" w:rsidRDefault="00890434" w:rsidP="005E4C14">
      <w:pPr>
        <w:jc w:val="both"/>
        <w:rPr>
          <w:lang w:val="en-GB"/>
        </w:rPr>
      </w:pPr>
      <w:r>
        <w:rPr>
          <w:lang w:val="en-GB"/>
        </w:rPr>
        <w:t>Using transmission occasions based on Option (a), RV index for transmission can be chosen in one of two ways. One could either configure each transmission occasion with an RV index that’s used across the entire transmission occasion, or alternately</w:t>
      </w:r>
      <w:r w:rsidR="009B672E">
        <w:rPr>
          <w:lang w:val="en-GB"/>
        </w:rPr>
        <w:t>, for each transmission occasion, depending on the duration of the occasion, RV index could be refreshed every time a slot boundary is crossed. These are presented as Options (a1) and (a2) in</w:t>
      </w:r>
      <w:r w:rsidR="005E4C14">
        <w:rPr>
          <w:lang w:val="en-GB"/>
        </w:rPr>
        <w:t xml:space="preserve"> </w:t>
      </w:r>
      <w:r w:rsidR="005E4C14">
        <w:rPr>
          <w:lang w:val="en-GB"/>
        </w:rPr>
        <w:fldChar w:fldCharType="begin"/>
      </w:r>
      <w:r w:rsidR="005E4C14">
        <w:rPr>
          <w:lang w:val="en-GB"/>
        </w:rPr>
        <w:instrText xml:space="preserve"> REF _Ref68614727 \h </w:instrText>
      </w:r>
      <w:r w:rsidR="005E4C14">
        <w:rPr>
          <w:lang w:val="en-GB"/>
        </w:rPr>
      </w:r>
      <w:r w:rsidR="005E4C14">
        <w:rPr>
          <w:lang w:val="en-GB"/>
        </w:rPr>
        <w:fldChar w:fldCharType="separate"/>
      </w:r>
      <w:r w:rsidR="005E4C14">
        <w:t xml:space="preserve">Figure </w:t>
      </w:r>
      <w:r w:rsidR="005E4C14">
        <w:rPr>
          <w:noProof/>
        </w:rPr>
        <w:t>7</w:t>
      </w:r>
      <w:r w:rsidR="005E4C14">
        <w:rPr>
          <w:lang w:val="en-GB"/>
        </w:rPr>
        <w:fldChar w:fldCharType="end"/>
      </w:r>
      <w:r w:rsidR="009B672E">
        <w:rPr>
          <w:lang w:val="en-GB"/>
        </w:rPr>
        <w:t>.</w:t>
      </w:r>
    </w:p>
    <w:p w14:paraId="3D33BF31" w14:textId="77777777" w:rsidR="005E4C14" w:rsidRDefault="00890434" w:rsidP="005E4C14">
      <w:pPr>
        <w:keepNext/>
        <w:jc w:val="center"/>
      </w:pPr>
      <w:r>
        <w:rPr>
          <w:noProof/>
          <w:lang w:val="en-GB"/>
        </w:rPr>
        <w:drawing>
          <wp:inline distT="0" distB="0" distL="0" distR="0" wp14:anchorId="3B543F68" wp14:editId="622C3D1A">
            <wp:extent cx="5848985" cy="161730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80677" cy="1626066"/>
                    </a:xfrm>
                    <a:prstGeom prst="rect">
                      <a:avLst/>
                    </a:prstGeom>
                    <a:noFill/>
                  </pic:spPr>
                </pic:pic>
              </a:graphicData>
            </a:graphic>
          </wp:inline>
        </w:drawing>
      </w:r>
    </w:p>
    <w:p w14:paraId="7FA448E5" w14:textId="7C33D384" w:rsidR="00890434" w:rsidRPr="00890434" w:rsidRDefault="005E4C14" w:rsidP="005E4C14">
      <w:pPr>
        <w:pStyle w:val="Caption"/>
        <w:jc w:val="center"/>
      </w:pPr>
      <w:bookmarkStart w:id="6" w:name="_Ref68614727"/>
      <w:r>
        <w:t xml:space="preserve">Figure </w:t>
      </w:r>
      <w:r>
        <w:fldChar w:fldCharType="begin"/>
      </w:r>
      <w:r>
        <w:instrText xml:space="preserve"> SEQ Figure \* ARABIC </w:instrText>
      </w:r>
      <w:r>
        <w:fldChar w:fldCharType="separate"/>
      </w:r>
      <w:r>
        <w:rPr>
          <w:noProof/>
        </w:rPr>
        <w:t>7</w:t>
      </w:r>
      <w:r>
        <w:fldChar w:fldCharType="end"/>
      </w:r>
      <w:bookmarkEnd w:id="6"/>
      <w:r>
        <w:t xml:space="preserve"> RV cycling within and across transmission occasions of a TBoMS</w:t>
      </w:r>
    </w:p>
    <w:p w14:paraId="6301CE26" w14:textId="076737CC" w:rsidR="005E4C14" w:rsidRDefault="00C24AAA" w:rsidP="00016124">
      <w:pPr>
        <w:jc w:val="both"/>
        <w:rPr>
          <w:bCs/>
        </w:rPr>
      </w:pPr>
      <w:r w:rsidRPr="00C24AAA">
        <w:rPr>
          <w:bCs/>
        </w:rPr>
        <w:t>Note that Option (a1) suffers from the same set of drawbacks that were identified for transmission occasions that span noncontiguous resources</w:t>
      </w:r>
      <w:r>
        <w:rPr>
          <w:bCs/>
        </w:rPr>
        <w:t xml:space="preserve">. For example, it can be seen that UCI multiplexing in the second slot of a transmission occasion in </w:t>
      </w:r>
      <w:r>
        <w:rPr>
          <w:bCs/>
        </w:rPr>
        <w:fldChar w:fldCharType="begin"/>
      </w:r>
      <w:r>
        <w:rPr>
          <w:bCs/>
        </w:rPr>
        <w:instrText xml:space="preserve"> REF _Ref68614727 \h </w:instrText>
      </w:r>
      <w:r>
        <w:rPr>
          <w:bCs/>
        </w:rPr>
      </w:r>
      <w:r>
        <w:rPr>
          <w:bCs/>
        </w:rPr>
        <w:fldChar w:fldCharType="separate"/>
      </w:r>
      <w:r>
        <w:t xml:space="preserve">Figure </w:t>
      </w:r>
      <w:r>
        <w:rPr>
          <w:noProof/>
        </w:rPr>
        <w:t>7</w:t>
      </w:r>
      <w:r>
        <w:rPr>
          <w:bCs/>
        </w:rPr>
        <w:fldChar w:fldCharType="end"/>
      </w:r>
      <w:r>
        <w:rPr>
          <w:bCs/>
        </w:rPr>
        <w:t xml:space="preserve"> impacts transmission in the first slot and has to therefore be accommodated even prior to the start of the transmission occasion. </w:t>
      </w:r>
      <w:r w:rsidR="00DB3041">
        <w:rPr>
          <w:bCs/>
        </w:rPr>
        <w:t>Similar considerations were also extensively debated when PUSCH-Type-B repetitions were being specified, before finally settling on the framework for nominal and actual repetitions where RV indices are refreshed when ever slot boundaries are crossed.</w:t>
      </w:r>
    </w:p>
    <w:p w14:paraId="628C1DB0" w14:textId="5027ADE3" w:rsidR="00C24AAA" w:rsidRPr="00C24AAA" w:rsidRDefault="00C24AAA" w:rsidP="00016124">
      <w:pPr>
        <w:jc w:val="both"/>
        <w:rPr>
          <w:bCs/>
        </w:rPr>
      </w:pPr>
      <w:r>
        <w:rPr>
          <w:bCs/>
        </w:rPr>
        <w:t>We therefore make the following proposal to further discuss the merits of the two options:</w:t>
      </w:r>
    </w:p>
    <w:p w14:paraId="3D0FA546" w14:textId="6E419B18" w:rsidR="004A4A1E" w:rsidRDefault="009B672E" w:rsidP="00016124">
      <w:pPr>
        <w:jc w:val="both"/>
      </w:pPr>
      <w:r w:rsidRPr="00BC01FE">
        <w:rPr>
          <w:b/>
        </w:rPr>
        <w:t>Proposal</w:t>
      </w:r>
      <w:r w:rsidR="00574132">
        <w:rPr>
          <w:b/>
        </w:rPr>
        <w:t xml:space="preserve"> 5</w:t>
      </w:r>
      <w:r w:rsidRPr="00BC01FE">
        <w:rPr>
          <w:b/>
        </w:rPr>
        <w:t>:</w:t>
      </w:r>
      <w:r>
        <w:t xml:space="preserve"> Depending on the duration of the transmission occasion</w:t>
      </w:r>
      <w:r w:rsidR="005E4C14">
        <w:t xml:space="preserve"> spanning contiguous resources</w:t>
      </w:r>
      <w:r>
        <w:t>, RV index for a</w:t>
      </w:r>
      <w:r w:rsidR="00F2381C">
        <w:t xml:space="preserve"> transmission within a</w:t>
      </w:r>
      <w:r>
        <w:t xml:space="preserve"> transmission occasion is chosen based on one of the following two options:</w:t>
      </w:r>
    </w:p>
    <w:p w14:paraId="14F1738F" w14:textId="6F315041" w:rsidR="009B672E" w:rsidRDefault="009B672E" w:rsidP="00A160DC">
      <w:pPr>
        <w:pStyle w:val="ListParagraph"/>
        <w:numPr>
          <w:ilvl w:val="0"/>
          <w:numId w:val="33"/>
        </w:numPr>
        <w:jc w:val="both"/>
      </w:pPr>
      <w:r>
        <w:lastRenderedPageBreak/>
        <w:t>A single RV index is used across the entire transmission occasion.</w:t>
      </w:r>
    </w:p>
    <w:p w14:paraId="3015BC8B" w14:textId="1D46B56F" w:rsidR="009B672E" w:rsidRDefault="009B672E" w:rsidP="00A160DC">
      <w:pPr>
        <w:pStyle w:val="ListParagraph"/>
        <w:numPr>
          <w:ilvl w:val="0"/>
          <w:numId w:val="33"/>
        </w:numPr>
        <w:jc w:val="both"/>
      </w:pPr>
      <w:r>
        <w:t>An updated RV index is used each time a slot boundary is crossed within a transmission occasion.</w:t>
      </w:r>
    </w:p>
    <w:p w14:paraId="3CAB203E" w14:textId="77777777" w:rsidR="00C24AAA" w:rsidRDefault="00C24AAA" w:rsidP="00C24AAA">
      <w:pPr>
        <w:pStyle w:val="ListParagraph"/>
        <w:jc w:val="both"/>
      </w:pPr>
    </w:p>
    <w:p w14:paraId="751434FE" w14:textId="0C00B7DA" w:rsidR="00017485" w:rsidRDefault="00017485" w:rsidP="00017485">
      <w:pPr>
        <w:pStyle w:val="Heading2"/>
      </w:pPr>
      <w:r>
        <w:t>TBS Determination</w:t>
      </w:r>
    </w:p>
    <w:p w14:paraId="2BDE8C68" w14:textId="79F570B2" w:rsidR="00C24AAA" w:rsidRDefault="00C24AAA" w:rsidP="00C24AAA">
      <w:pPr>
        <w:rPr>
          <w:lang w:val="en-GB"/>
        </w:rPr>
      </w:pPr>
      <w:r>
        <w:rPr>
          <w:lang w:val="en-GB"/>
        </w:rPr>
        <w:t>TBS determination is another important aspect of TBoMS as it forms the primary basis for avoiding excessive segmentation of small payloads in uplink. In this section we present considerations on TBS determination with the preceding discussion on TDRA aspects providing background and context.</w:t>
      </w:r>
    </w:p>
    <w:p w14:paraId="29F51CF9" w14:textId="7AE12F3F" w:rsidR="004B54D6" w:rsidRDefault="009B672E" w:rsidP="00C24AAA">
      <w:r>
        <w:t>In the current spec, the following</w:t>
      </w:r>
      <w:r w:rsidR="004B54D6">
        <w:t xml:space="preserve"> the steps</w:t>
      </w:r>
      <w:r>
        <w:t xml:space="preserve"> are</w:t>
      </w:r>
      <w:r w:rsidR="004B54D6">
        <w:t xml:space="preserve"> involved in </w:t>
      </w:r>
      <w:r>
        <w:t>determining the</w:t>
      </w:r>
      <w:r w:rsidR="004B54D6">
        <w:t xml:space="preserve"> TB size</w:t>
      </w:r>
      <w:r w:rsidR="00CF651F">
        <w:t>:</w:t>
      </w:r>
    </w:p>
    <w:p w14:paraId="358439CE" w14:textId="58DB87A6" w:rsidR="00D7086E" w:rsidRPr="00016124" w:rsidRDefault="00D7086E" w:rsidP="00A160DC">
      <w:pPr>
        <w:numPr>
          <w:ilvl w:val="0"/>
          <w:numId w:val="26"/>
        </w:numPr>
        <w:jc w:val="both"/>
      </w:pPr>
      <w:r w:rsidRPr="00016124">
        <w:t>UE first determines number of REs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hint="eastAsia"/>
              </w:rPr>
              <m:t>'</m:t>
            </m:r>
          </m:sup>
        </m:sSubSup>
      </m:oMath>
      <w:r w:rsidRPr="00016124">
        <w:t>) allocated for PUSCH within a PRB:</w:t>
      </w:r>
      <w:r w:rsidR="002433A0">
        <w:t xml:space="preserve"> </w:t>
      </w:r>
      <w:r w:rsidR="002433A0" w:rsidRPr="002433A0">
        <w:object w:dxaOrig="3317" w:dyaOrig="471" w14:anchorId="76B59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5pt;height:22.3pt" o:ole="">
            <v:imagedata r:id="rId15" o:title=""/>
          </v:shape>
          <o:OLEObject Type="Embed" ProgID="Unknown" ShapeID="_x0000_i1025" DrawAspect="Content" ObjectID="_1679242865" r:id="rId16"/>
        </w:object>
      </w:r>
    </w:p>
    <w:p w14:paraId="2CAA58EC" w14:textId="77777777" w:rsidR="00D7086E" w:rsidRPr="00016124" w:rsidRDefault="00D7086E" w:rsidP="00A160DC">
      <w:pPr>
        <w:numPr>
          <w:ilvl w:val="1"/>
          <w:numId w:val="27"/>
        </w:numPr>
        <w:jc w:val="both"/>
      </w:pPr>
      <w:r w:rsidRPr="00016124">
        <w:t>This is a function of the number of symbols and RBs allocated to PUSCH, the number of resources assigned for DMRS and an additional overhead factor.</w:t>
      </w:r>
    </w:p>
    <w:p w14:paraId="1E221B58" w14:textId="29C80FE6" w:rsidR="00D7086E" w:rsidRPr="00016124" w:rsidRDefault="00D7086E" w:rsidP="00A160DC">
      <w:pPr>
        <w:numPr>
          <w:ilvl w:val="0"/>
          <w:numId w:val="26"/>
        </w:numPr>
        <w:jc w:val="both"/>
      </w:pPr>
      <w:r w:rsidRPr="00016124">
        <w:t>A UE then determines total number of REs allocated to PUSCH (</w:t>
      </w:r>
      <m:oMath>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m:t>
        </m:r>
      </m:oMath>
      <w:r w:rsidRPr="00016124">
        <w:t xml:space="preserve">: </w:t>
      </w:r>
      <m:oMath>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 = </m:t>
        </m:r>
        <m:sSub>
          <m:sSubPr>
            <m:ctrlPr>
              <w:rPr>
                <w:rFonts w:ascii="Cambria Math" w:hAnsi="Cambria Math"/>
                <w:i/>
                <w:iCs/>
              </w:rPr>
            </m:ctrlPr>
          </m:sSubPr>
          <m:e>
            <m:r>
              <w:rPr>
                <w:rFonts w:ascii="Cambria Math" w:hAnsi="Cambria Math"/>
              </w:rPr>
              <m:t>n</m:t>
            </m:r>
          </m:e>
          <m:sub>
            <m:r>
              <w:rPr>
                <w:rFonts w:ascii="Cambria Math" w:hAnsi="Cambria Math"/>
              </w:rPr>
              <m:t>prb</m:t>
            </m:r>
          </m:sub>
        </m:sSub>
        <m:r>
          <w:rPr>
            <w:rFonts w:ascii="Cambria Math" w:hAnsi="Cambria Math"/>
          </w:rPr>
          <m:t>*</m:t>
        </m:r>
        <m:func>
          <m:funcPr>
            <m:ctrlPr>
              <w:rPr>
                <w:rFonts w:ascii="Cambria Math" w:hAnsi="Cambria Math"/>
                <w:i/>
                <w:iCs/>
              </w:rPr>
            </m:ctrlPr>
          </m:funcPr>
          <m:fName>
            <m:r>
              <m:rPr>
                <m:sty m:val="p"/>
              </m:rPr>
              <w:rPr>
                <w:rFonts w:ascii="Cambria Math" w:hAnsi="Cambria Math"/>
              </w:rPr>
              <m:t>min</m:t>
            </m:r>
          </m:fName>
          <m:e>
            <m:d>
              <m:dPr>
                <m:ctrlPr>
                  <w:rPr>
                    <w:rFonts w:ascii="Cambria Math" w:hAnsi="Cambria Math"/>
                    <w:i/>
                    <w:iCs/>
                  </w:rPr>
                </m:ctrlPr>
              </m:dPr>
              <m:e>
                <m:r>
                  <w:rPr>
                    <w:rFonts w:ascii="Cambria Math" w:hAnsi="Cambria Math"/>
                  </w:rPr>
                  <m:t>156,</m:t>
                </m:r>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hint="eastAsia"/>
                      </w:rPr>
                      <m:t>'</m:t>
                    </m:r>
                  </m:sup>
                </m:sSubSup>
              </m:e>
            </m:d>
          </m:e>
        </m:func>
        <m:r>
          <w:rPr>
            <w:rFonts w:ascii="Cambria Math" w:hAnsi="Cambria Math"/>
          </w:rPr>
          <m:t>, </m:t>
        </m:r>
      </m:oMath>
      <w:r w:rsidRPr="00016124">
        <w:t xml:space="preserve">where </w:t>
      </w:r>
      <m:oMath>
        <m:sSub>
          <m:sSubPr>
            <m:ctrlPr>
              <w:rPr>
                <w:rFonts w:ascii="Cambria Math" w:hAnsi="Cambria Math"/>
                <w:i/>
                <w:iCs/>
              </w:rPr>
            </m:ctrlPr>
          </m:sSubPr>
          <m:e>
            <m:r>
              <w:rPr>
                <w:rFonts w:ascii="Cambria Math" w:hAnsi="Cambria Math"/>
              </w:rPr>
              <m:t>n</m:t>
            </m:r>
          </m:e>
          <m:sub>
            <m:r>
              <w:rPr>
                <w:rFonts w:ascii="Cambria Math" w:hAnsi="Cambria Math"/>
              </w:rPr>
              <m:t>prb</m:t>
            </m:r>
          </m:sub>
        </m:sSub>
      </m:oMath>
      <w:r w:rsidRPr="00016124">
        <w:t xml:space="preserve"> denotes the total number of PRBs assigned to the UE </w:t>
      </w:r>
    </w:p>
    <w:p w14:paraId="1D7FCEFF" w14:textId="797535F3" w:rsidR="00D7086E" w:rsidRPr="00016124" w:rsidRDefault="00D7086E" w:rsidP="00A160DC">
      <w:pPr>
        <w:numPr>
          <w:ilvl w:val="0"/>
          <w:numId w:val="26"/>
        </w:numPr>
        <w:jc w:val="both"/>
      </w:pPr>
      <w:r w:rsidRPr="00016124">
        <w:t xml:space="preserve">UE then determines intermediate number of information bits </w:t>
      </w:r>
      <m:oMath>
        <m:sSubSup>
          <m:sSubSupPr>
            <m:ctrlPr>
              <w:rPr>
                <w:rFonts w:ascii="Cambria Math" w:hAnsi="Cambria Math"/>
                <w:i/>
                <w:iCs/>
              </w:rPr>
            </m:ctrlPr>
          </m:sSubSupPr>
          <m:e>
            <m:r>
              <w:rPr>
                <w:rFonts w:ascii="Cambria Math" w:hAnsi="Cambria Math"/>
              </w:rPr>
              <m:t>N</m:t>
            </m:r>
          </m:e>
          <m:sub>
            <m:r>
              <w:rPr>
                <w:rFonts w:ascii="Cambria Math" w:hAnsi="Cambria Math"/>
              </w:rPr>
              <m:t>info</m:t>
            </m:r>
          </m:sub>
          <m:sup/>
        </m:sSubSup>
      </m:oMath>
      <w:r w:rsidRPr="00016124">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info</m:t>
            </m:r>
          </m:sub>
          <m:sup/>
        </m:sSub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*R*</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*ν</m:t>
        </m:r>
      </m:oMath>
      <w:r w:rsidRPr="00016124">
        <w:t xml:space="preserve">, where </w:t>
      </w:r>
      <m:oMath>
        <m:r>
          <w:rPr>
            <w:rFonts w:ascii="Cambria Math" w:hAnsi="Cambria Math"/>
          </w:rPr>
          <m:t>R</m:t>
        </m:r>
      </m:oMath>
      <w:r w:rsidRPr="00016124">
        <w:t xml:space="preserve"> is the coding rate, </w:t>
      </w:r>
      <m:oMath>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 </m:t>
        </m:r>
      </m:oMath>
      <w:r w:rsidRPr="00016124">
        <w:t xml:space="preserve">is the modulation order and </w:t>
      </w:r>
      <m:oMath>
        <m:r>
          <w:rPr>
            <w:rFonts w:ascii="Cambria Math" w:hAnsi="Cambria Math"/>
          </w:rPr>
          <m:t>ν</m:t>
        </m:r>
      </m:oMath>
      <w:r w:rsidRPr="00016124">
        <w:t xml:space="preserve"> is the number of layers</w:t>
      </w:r>
    </w:p>
    <w:p w14:paraId="4B34BFD0" w14:textId="77777777" w:rsidR="00D7086E" w:rsidRPr="00016124" w:rsidRDefault="00D7086E" w:rsidP="00A160DC">
      <w:pPr>
        <w:numPr>
          <w:ilvl w:val="0"/>
          <w:numId w:val="26"/>
        </w:numPr>
        <w:jc w:val="both"/>
      </w:pPr>
      <w:r w:rsidRPr="00016124">
        <w:t>Once the intermediate information bits are obtained, the TB size determination splits into two directions:</w:t>
      </w:r>
    </w:p>
    <w:p w14:paraId="41AF6AB9" w14:textId="294D379D" w:rsidR="00D7086E" w:rsidRPr="00016124" w:rsidRDefault="00D7086E" w:rsidP="00A160DC">
      <w:pPr>
        <w:numPr>
          <w:ilvl w:val="1"/>
          <w:numId w:val="28"/>
        </w:numPr>
        <w:jc w:val="both"/>
      </w:pPr>
      <w:r w:rsidRPr="00016124">
        <w:t xml:space="preserve">When </w:t>
      </w:r>
      <m:oMath>
        <m:sSub>
          <m:sSubPr>
            <m:ctrlPr>
              <w:rPr>
                <w:rFonts w:ascii="Cambria Math" w:hAnsi="Cambria Math"/>
                <w:i/>
                <w:iCs/>
              </w:rPr>
            </m:ctrlPr>
          </m:sSubPr>
          <m:e>
            <m:r>
              <w:rPr>
                <w:rFonts w:ascii="Cambria Math" w:hAnsi="Cambria Math"/>
              </w:rPr>
              <m:t>N</m:t>
            </m:r>
          </m:e>
          <m:sub>
            <m:r>
              <w:rPr>
                <w:rFonts w:ascii="Cambria Math" w:hAnsi="Cambria Math"/>
              </w:rPr>
              <m:t>info</m:t>
            </m:r>
          </m:sub>
        </m:sSub>
        <m:r>
          <w:rPr>
            <w:rFonts w:ascii="Cambria Math" w:hAnsi="Cambria Math" w:hint="eastAsia"/>
          </w:rPr>
          <m:t>≤</m:t>
        </m:r>
        <m:r>
          <w:rPr>
            <w:rFonts w:ascii="Cambria Math" w:hAnsi="Cambria Math"/>
          </w:rPr>
          <m:t>3824</m:t>
        </m:r>
      </m:oMath>
      <w:r w:rsidRPr="00016124">
        <w:t xml:space="preserve"> the TB size is based on a formula</w:t>
      </w:r>
    </w:p>
    <w:p w14:paraId="019E2516" w14:textId="02851E16" w:rsidR="00D7086E" w:rsidRPr="00016124" w:rsidRDefault="00D7086E" w:rsidP="00A160DC">
      <w:pPr>
        <w:numPr>
          <w:ilvl w:val="1"/>
          <w:numId w:val="28"/>
        </w:numPr>
        <w:jc w:val="both"/>
      </w:pPr>
      <w:r w:rsidRPr="00016124">
        <w:t xml:space="preserve">Else, a </w:t>
      </w:r>
      <w:r w:rsidR="00016124" w:rsidRPr="00016124">
        <w:t>formula-based</w:t>
      </w:r>
      <w:r w:rsidRPr="00016124">
        <w:t xml:space="preserve"> approach is used to compute the TB size.</w:t>
      </w:r>
    </w:p>
    <w:p w14:paraId="2B01635B" w14:textId="1B05459A" w:rsidR="00D7086E" w:rsidRDefault="00680CA2" w:rsidP="00016124">
      <w:pPr>
        <w:jc w:val="both"/>
      </w:pPr>
      <w:r w:rsidRPr="00016124">
        <w:t xml:space="preserve">To let the </w:t>
      </w:r>
      <w:proofErr w:type="gramStart"/>
      <w:r w:rsidR="00016124" w:rsidRPr="00016124">
        <w:t>UE</w:t>
      </w:r>
      <w:proofErr w:type="gramEnd"/>
      <w:r w:rsidRPr="00016124">
        <w:t xml:space="preserve"> take advantage of all </w:t>
      </w:r>
      <w:r w:rsidR="00C24AAA">
        <w:t>the available resources for TBoMS</w:t>
      </w:r>
      <w:r w:rsidRPr="00016124">
        <w:t xml:space="preserve"> and size its TB appropriately, we propose to</w:t>
      </w:r>
      <w:r w:rsidR="002433A0">
        <w:t xml:space="preserve"> make two changes to the above 4-step procedure. First, the number of REs per PRB identified in the first</w:t>
      </w:r>
      <w:r w:rsidR="00DA19D4">
        <w:t xml:space="preserve"> two</w:t>
      </w:r>
      <w:r w:rsidR="002433A0">
        <w:t xml:space="preserve"> step</w:t>
      </w:r>
      <w:r w:rsidR="00DA19D4">
        <w:t>s</w:t>
      </w:r>
      <w:r w:rsidR="002433A0">
        <w:t xml:space="preserve"> are reinterpreted to mean </w:t>
      </w:r>
      <w:r w:rsidR="00DA19D4">
        <w:t xml:space="preserve">total </w:t>
      </w:r>
      <w:r w:rsidR="002433A0">
        <w:t xml:space="preserve">REs available in a single transmission occasion of a TBoMS. Second, </w:t>
      </w:r>
      <w:r w:rsidRPr="00016124">
        <w:t xml:space="preserve">Step 3 </w:t>
      </w:r>
      <w:r w:rsidR="002433A0">
        <w:t xml:space="preserve">is altered to </w:t>
      </w:r>
      <w:r w:rsidRPr="00016124">
        <w:t xml:space="preserve">introduce a scale factor S, so that the intermediate information bits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sidRPr="00016124">
        <w:t xml:space="preserve"> is computed as </w:t>
      </w:r>
      <m:oMath>
        <m:r>
          <w:rPr>
            <w:rFonts w:ascii="Cambria Math" w:hAnsi="Cambria Math"/>
          </w:rPr>
          <m:t>S* </m:t>
        </m:r>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*R*</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*ν, </m:t>
        </m:r>
      </m:oMath>
      <w:r w:rsidR="00D7086E" w:rsidRPr="00016124">
        <w:t xml:space="preserve">where </w:t>
      </w:r>
      <m:oMath>
        <m:r>
          <w:rPr>
            <w:rFonts w:ascii="Cambria Math" w:hAnsi="Cambria Math"/>
          </w:rPr>
          <m:t>S</m:t>
        </m:r>
      </m:oMath>
      <w:r w:rsidR="00D7086E" w:rsidRPr="00016124">
        <w:t xml:space="preserve"> is </w:t>
      </w:r>
      <w:r w:rsidRPr="00016124">
        <w:t>a scale factor taking values greater than or equal to 1.</w:t>
      </w:r>
    </w:p>
    <w:p w14:paraId="5FAB08FF" w14:textId="09B0E1D8" w:rsidR="0094699A" w:rsidRDefault="0094699A" w:rsidP="00016124">
      <w:pPr>
        <w:jc w:val="both"/>
      </w:pPr>
      <w:r>
        <w:t xml:space="preserve">Using this approach, for the example </w:t>
      </w:r>
      <w:r w:rsidR="00C24AAA">
        <w:t xml:space="preserve">presented in </w:t>
      </w:r>
      <w:r w:rsidR="00C24AAA">
        <w:fldChar w:fldCharType="begin"/>
      </w:r>
      <w:r w:rsidR="00C24AAA">
        <w:instrText xml:space="preserve"> REF _Ref68609770 \h </w:instrText>
      </w:r>
      <w:r w:rsidR="00C24AAA">
        <w:fldChar w:fldCharType="separate"/>
      </w:r>
      <w:r w:rsidR="00C24AAA">
        <w:t xml:space="preserve">Figure </w:t>
      </w:r>
      <w:r w:rsidR="00C24AAA">
        <w:rPr>
          <w:noProof/>
        </w:rPr>
        <w:t>1</w:t>
      </w:r>
      <w:r w:rsidR="00C24AAA">
        <w:fldChar w:fldCharType="end"/>
      </w:r>
      <w:r w:rsidR="00C24AAA">
        <w:t xml:space="preserve">, </w:t>
      </w:r>
      <w:r w:rsidR="002433A0">
        <w:t xml:space="preserve">it is easy to see that </w:t>
      </w:r>
      <w:r>
        <w:t>scal</w:t>
      </w:r>
      <w:r w:rsidR="002433A0">
        <w:t>ing</w:t>
      </w:r>
      <w:r>
        <w:t xml:space="preserve"> the TB</w:t>
      </w:r>
      <w:r w:rsidR="002433A0">
        <w:t xml:space="preserve"> size</w:t>
      </w:r>
      <w:r>
        <w:t xml:space="preserve"> by a factor of </w:t>
      </w:r>
      <w:r w:rsidR="002433A0">
        <w:t>2</w:t>
      </w:r>
      <w:r>
        <w:t xml:space="preserve"> </w:t>
      </w:r>
      <w:r w:rsidR="00016124">
        <w:t>to</w:t>
      </w:r>
      <w:r>
        <w:t xml:space="preserve"> </w:t>
      </w:r>
      <w:r w:rsidR="002433A0">
        <w:t>accommodate the entire uplink payload while using the same MCS and frequency domain resources ensures payload segmentation does not occur. Wi</w:t>
      </w:r>
      <w:r w:rsidR="003C2F38">
        <w:t>th this scale factor and using RV cycling we can now see that it is indeed possible to transmit a larger size TB while cycling through different parity bits during each of the 4 repetitions. Using these observations, we make the following proposal</w:t>
      </w:r>
      <w:r w:rsidR="00D06530">
        <w:t>s</w:t>
      </w:r>
      <w:r w:rsidR="003C2F38">
        <w:t>:</w:t>
      </w:r>
    </w:p>
    <w:p w14:paraId="757DE429" w14:textId="6BF514A8" w:rsidR="00A160DC" w:rsidRDefault="00A160DC" w:rsidP="00A160DC">
      <w:pPr>
        <w:jc w:val="both"/>
      </w:pPr>
      <w:r w:rsidRPr="009B672E">
        <w:rPr>
          <w:b/>
        </w:rPr>
        <w:t>Proposal</w:t>
      </w:r>
      <w:r w:rsidR="00574132">
        <w:rPr>
          <w:b/>
        </w:rPr>
        <w:t xml:space="preserve"> 6</w:t>
      </w:r>
      <w:r w:rsidRPr="009B672E">
        <w:rPr>
          <w:b/>
        </w:rPr>
        <w:t>:</w:t>
      </w:r>
      <w:r w:rsidRPr="009B672E">
        <w:t xml:space="preserve"> </w:t>
      </w:r>
      <w:r>
        <w:t xml:space="preserve">When determining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t xml:space="preserve"> for TBoMS,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t xml:space="preserve"> is the number of resource</w:t>
      </w:r>
      <w:r w:rsidR="00DA19D4">
        <w:t xml:space="preserve"> element</w:t>
      </w:r>
      <w:r>
        <w:t xml:space="preserve">s available in a transmission occasion of TBoMS. </w:t>
      </w:r>
    </w:p>
    <w:p w14:paraId="11ACD414" w14:textId="3EEA5DF7" w:rsidR="00A160DC" w:rsidRPr="009B672E" w:rsidRDefault="00A160DC" w:rsidP="00A160DC">
      <w:pPr>
        <w:jc w:val="both"/>
      </w:pPr>
      <w:r w:rsidRPr="00A160DC">
        <w:rPr>
          <w:b/>
        </w:rPr>
        <w:t>Proposal</w:t>
      </w:r>
      <w:r w:rsidR="00574132">
        <w:rPr>
          <w:b/>
        </w:rPr>
        <w:t xml:space="preserve"> 7</w:t>
      </w:r>
      <w:r w:rsidRPr="00A160DC">
        <w:rPr>
          <w:b/>
        </w:rPr>
        <w:t>:</w:t>
      </w:r>
      <w:r>
        <w:t xml:space="preserve"> When</w:t>
      </w:r>
      <w:r w:rsidRPr="009B672E">
        <w:t xml:space="preserve"> determining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cs="Cambria Math"/>
              </w:rPr>
              <m:t>info</m:t>
            </m:r>
          </m:sub>
        </m:sSub>
      </m:oMath>
      <w:r>
        <w:t xml:space="preserve"> </w:t>
      </w:r>
      <w:r w:rsidRPr="009B672E">
        <w:t xml:space="preserve"> for TBoMS, introduce a new scale factor to compute the intermediate number of information bits. </w:t>
      </w:r>
    </w:p>
    <w:p w14:paraId="2E50AB5B" w14:textId="77777777" w:rsidR="00A160DC" w:rsidRPr="009B672E" w:rsidRDefault="00A160DC" w:rsidP="00A160DC">
      <w:pPr>
        <w:ind w:left="720"/>
        <w:jc w:val="both"/>
      </w:pPr>
      <w:r w:rsidRPr="009B672E">
        <w:t xml:space="preserve">FFS: permitted values for the scale factor. </w:t>
      </w:r>
    </w:p>
    <w:p w14:paraId="67CA7C5A" w14:textId="77777777" w:rsidR="00A160DC" w:rsidRPr="009B672E" w:rsidRDefault="00A160DC" w:rsidP="00A160DC">
      <w:pPr>
        <w:ind w:left="720"/>
        <w:jc w:val="both"/>
      </w:pPr>
      <w:r w:rsidRPr="009B672E">
        <w:t>FFS: signaling aspects of the scale factor.</w:t>
      </w:r>
    </w:p>
    <w:p w14:paraId="5E116EAC" w14:textId="77777777" w:rsidR="00A160DC" w:rsidRPr="009B672E" w:rsidRDefault="00A160DC" w:rsidP="00A160DC">
      <w:pPr>
        <w:ind w:left="720"/>
        <w:jc w:val="both"/>
      </w:pPr>
      <w:r w:rsidRPr="009B672E">
        <w:t>FFS: restrictions on when the scale factor can be used/signaled.</w:t>
      </w:r>
    </w:p>
    <w:p w14:paraId="5DCF9E7D" w14:textId="6BBFABCE" w:rsidR="00A160DC" w:rsidRDefault="00A160DC" w:rsidP="00A160DC">
      <w:pPr>
        <w:ind w:left="720"/>
        <w:jc w:val="both"/>
      </w:pPr>
      <w:r w:rsidRPr="009B672E">
        <w:t>Note: No new TB sizes are introduced.</w:t>
      </w:r>
    </w:p>
    <w:p w14:paraId="47AF84A5" w14:textId="09C41B68" w:rsidR="002433A0" w:rsidRPr="009B672E" w:rsidRDefault="00DA19D4" w:rsidP="002433A0">
      <w:pPr>
        <w:jc w:val="both"/>
      </w:pPr>
      <w:r>
        <w:t xml:space="preserve">Further, </w:t>
      </w:r>
      <m:oMath>
        <m:sSubSup>
          <m:sSubSupPr>
            <m:ctrlPr>
              <w:rPr>
                <w:rFonts w:ascii="Cambria Math" w:hAnsi="Cambria Math"/>
                <w:i/>
              </w:rPr>
            </m:ctrlPr>
          </m:sSubSupPr>
          <m:e>
            <m:r>
              <w:rPr>
                <w:rFonts w:ascii="Cambria Math" w:hAnsi="Cambria Math" w:cs="Cambria Math"/>
              </w:rPr>
              <m:t>N</m:t>
            </m:r>
            <m:ctrlPr>
              <w:rPr>
                <w:rFonts w:ascii="Cambria Math" w:hAnsi="Cambria Math" w:cs="Cambria Math"/>
                <w:i/>
              </w:rPr>
            </m:ctrlPr>
          </m:e>
          <m:sub>
            <m:r>
              <w:rPr>
                <w:rFonts w:ascii="Cambria Math" w:hAnsi="Cambria Math" w:cs="Cambria Math"/>
              </w:rPr>
              <m:t>OH</m:t>
            </m:r>
          </m:sub>
          <m:sup>
            <m:r>
              <w:rPr>
                <w:rFonts w:ascii="Cambria Math" w:hAnsi="Cambria Math" w:cs="Cambria Math"/>
              </w:rPr>
              <m:t>PRB</m:t>
            </m:r>
          </m:sup>
        </m:sSubSup>
      </m:oMath>
      <w:r>
        <w:t xml:space="preserve"> used in the first step is assumed to the same across an entire TBoMS transmission occasion and configured via the RRC parameter xOverhead as in Rel-15/16. This is captured in the following proposal:</w:t>
      </w:r>
    </w:p>
    <w:p w14:paraId="010011BB" w14:textId="0E5988DB" w:rsidR="00A160DC" w:rsidRDefault="00A160DC" w:rsidP="00A160DC">
      <w:pPr>
        <w:jc w:val="both"/>
      </w:pPr>
      <w:r w:rsidRPr="00FB225B">
        <w:rPr>
          <w:b/>
        </w:rPr>
        <w:t>Proposal</w:t>
      </w:r>
      <w:r w:rsidR="00574132">
        <w:rPr>
          <w:b/>
        </w:rPr>
        <w:t xml:space="preserve"> 8</w:t>
      </w:r>
      <w:r w:rsidRPr="009B672E">
        <w:t xml:space="preserve">: For TBoMS, </w:t>
      </w:r>
      <m:oMath>
        <m:sSubSup>
          <m:sSubSupPr>
            <m:ctrlPr>
              <w:rPr>
                <w:rFonts w:ascii="Cambria Math" w:hAnsi="Cambria Math"/>
                <w:i/>
              </w:rPr>
            </m:ctrlPr>
          </m:sSubSupPr>
          <m:e>
            <m:r>
              <w:rPr>
                <w:rFonts w:ascii="Cambria Math" w:hAnsi="Cambria Math" w:cs="Cambria Math"/>
              </w:rPr>
              <m:t>N</m:t>
            </m:r>
            <m:ctrlPr>
              <w:rPr>
                <w:rFonts w:ascii="Cambria Math" w:hAnsi="Cambria Math" w:cs="Cambria Math"/>
                <w:i/>
              </w:rPr>
            </m:ctrlPr>
          </m:e>
          <m:sub>
            <m:r>
              <w:rPr>
                <w:rFonts w:ascii="Cambria Math" w:hAnsi="Cambria Math" w:cs="Cambria Math"/>
              </w:rPr>
              <m:t>OH</m:t>
            </m:r>
          </m:sub>
          <m:sup>
            <m:r>
              <w:rPr>
                <w:rFonts w:ascii="Cambria Math" w:hAnsi="Cambria Math" w:cs="Cambria Math"/>
              </w:rPr>
              <m:t>PRB</m:t>
            </m:r>
          </m:sup>
        </m:sSubSup>
      </m:oMath>
      <w:r w:rsidRPr="009B672E">
        <w:t xml:space="preserve"> is assumed to be the </w:t>
      </w:r>
      <w:r w:rsidR="00DA19D4">
        <w:t xml:space="preserve">same across an entire TBoMS transmission occasion is </w:t>
      </w:r>
      <w:r w:rsidRPr="009B672E">
        <w:t xml:space="preserve">configured </w:t>
      </w:r>
      <w:r w:rsidR="00DA19D4">
        <w:t>via</w:t>
      </w:r>
      <w:r w:rsidRPr="009B672E">
        <w:t xml:space="preserve"> xOverhead as in Rel-15/16.</w:t>
      </w:r>
    </w:p>
    <w:p w14:paraId="3D4AAC65" w14:textId="7617B347" w:rsidR="002433A0" w:rsidRDefault="002433A0" w:rsidP="002433A0">
      <w:pPr>
        <w:pStyle w:val="Heading2"/>
      </w:pPr>
      <w:r>
        <w:lastRenderedPageBreak/>
        <w:t>Restriction on TBoMS</w:t>
      </w:r>
    </w:p>
    <w:p w14:paraId="5CF25049" w14:textId="1D2916AB" w:rsidR="003C2F38" w:rsidRPr="00462F56" w:rsidRDefault="00594CE1" w:rsidP="00016124">
      <w:pPr>
        <w:jc w:val="both"/>
      </w:pPr>
      <w:r>
        <w:t xml:space="preserve">In addition to these aspects, we need to identify clear limits on when TBS scaling is applicable. For instance, </w:t>
      </w:r>
      <w:r w:rsidR="00016124">
        <w:t>it’s</w:t>
      </w:r>
      <w:r>
        <w:t xml:space="preserve"> clear that the benefits of TBS scaling no longer apply when we need multiple codeblocks to encode a TB. In </w:t>
      </w:r>
      <w:r w:rsidR="00016124">
        <w:t>addition,</w:t>
      </w:r>
      <w:r>
        <w:t xml:space="preserve"> as the number of allocated RBs, and MCS grow, the coding gain due to TB bundling is diminished or even non-existent. For these cases, TBS scaling brings no performance gain, but can lead to an increase in UE implementation complexity due to increase in circular buffer size. </w:t>
      </w:r>
      <w:r w:rsidR="00F2381C">
        <w:t>Furthermore, it is desirable to limit TBoMS transmission over a single layer transmission (</w:t>
      </w:r>
      <w:proofErr w:type="gramStart"/>
      <w:r w:rsidR="00F2381C">
        <w:t>similar to</w:t>
      </w:r>
      <w:proofErr w:type="gramEnd"/>
      <w:r w:rsidR="00F2381C">
        <w:t xml:space="preserve"> PUSCH repetition type A) for the coverage use case. </w:t>
      </w:r>
      <w:r>
        <w:t>For these reasons, it is important for us to identify clear conditions under which TBS scaling can be applied and we make the following proposal</w:t>
      </w:r>
      <w:r w:rsidR="00016124">
        <w:t>:</w:t>
      </w:r>
    </w:p>
    <w:p w14:paraId="1671AE66" w14:textId="105A1758" w:rsidR="00462F56" w:rsidRDefault="00462F56" w:rsidP="00016124">
      <w:pPr>
        <w:jc w:val="both"/>
      </w:pPr>
      <w:r w:rsidRPr="00462F56">
        <w:rPr>
          <w:b/>
          <w:bCs/>
        </w:rPr>
        <w:t>Proposal</w:t>
      </w:r>
      <w:r w:rsidR="00574132">
        <w:rPr>
          <w:b/>
          <w:bCs/>
        </w:rPr>
        <w:t xml:space="preserve"> 9</w:t>
      </w:r>
      <w:r w:rsidRPr="00462F56">
        <w:rPr>
          <w:b/>
          <w:bCs/>
        </w:rPr>
        <w:t xml:space="preserve">: </w:t>
      </w:r>
      <w:r w:rsidR="00DA19D4">
        <w:t xml:space="preserve">Restrict TBoMS transmissions to TB sizes that permit single codeblock transmissions </w:t>
      </w:r>
      <w:r w:rsidR="00F2381C">
        <w:t>(</w:t>
      </w:r>
      <w:r w:rsidR="00DA19D4">
        <w:t>i.e., entire TB can be encoded as a single codeblock</w:t>
      </w:r>
      <w:r w:rsidR="00F2381C">
        <w:t>)</w:t>
      </w:r>
      <w:r w:rsidR="00137270">
        <w:t xml:space="preserve">. Furthermore, restrict TBoMS transmission to </w:t>
      </w:r>
      <w:r w:rsidR="00F2381C">
        <w:t>single layer transmission</w:t>
      </w:r>
      <w:r w:rsidR="005F43FC">
        <w:t>s</w:t>
      </w:r>
      <w:r w:rsidR="00DA19D4">
        <w:t>.</w:t>
      </w:r>
    </w:p>
    <w:p w14:paraId="270DA66D" w14:textId="76AE3D5F" w:rsidR="00C37C05" w:rsidRDefault="00D7086E" w:rsidP="00016124">
      <w:pPr>
        <w:pStyle w:val="Heading1"/>
        <w:jc w:val="both"/>
        <w:rPr>
          <w:rFonts w:ascii="Times New Roman" w:hAnsi="Times New Roman"/>
          <w:lang w:val="en-US"/>
        </w:rPr>
      </w:pPr>
      <w:r>
        <w:rPr>
          <w:rFonts w:ascii="Times New Roman" w:hAnsi="Times New Roman"/>
          <w:lang w:val="en-US"/>
        </w:rPr>
        <w:t>C</w:t>
      </w:r>
      <w:r w:rsidR="00C37C05" w:rsidRPr="002C136E">
        <w:rPr>
          <w:rFonts w:ascii="Times New Roman" w:hAnsi="Times New Roman"/>
          <w:lang w:val="en-US"/>
        </w:rPr>
        <w:t>onclusion</w:t>
      </w:r>
    </w:p>
    <w:p w14:paraId="157558D4" w14:textId="752E2A86" w:rsidR="00824450" w:rsidRDefault="00824450" w:rsidP="00016124">
      <w:pPr>
        <w:jc w:val="both"/>
      </w:pPr>
      <w:r>
        <w:t xml:space="preserve">Based on the discussion presented in </w:t>
      </w:r>
      <w:r w:rsidR="00016124">
        <w:t>t</w:t>
      </w:r>
      <w:r>
        <w:t>he earlier sections, we have the following proposals.</w:t>
      </w:r>
    </w:p>
    <w:p w14:paraId="01985030" w14:textId="77777777" w:rsidR="00DB3041" w:rsidRDefault="00DB3041" w:rsidP="00DB3041">
      <w:pPr>
        <w:overflowPunct/>
        <w:autoSpaceDE/>
        <w:autoSpaceDN/>
        <w:adjustRightInd/>
        <w:spacing w:before="120" w:after="120" w:line="276" w:lineRule="auto"/>
        <w:jc w:val="both"/>
        <w:textAlignment w:val="auto"/>
        <w:rPr>
          <w:lang w:eastAsia="zh-CN"/>
        </w:rPr>
      </w:pPr>
      <w:r w:rsidRPr="00C602D3">
        <w:rPr>
          <w:b/>
          <w:lang w:eastAsia="zh-CN"/>
        </w:rPr>
        <w:t>Proposal</w:t>
      </w:r>
      <w:r>
        <w:rPr>
          <w:b/>
          <w:lang w:eastAsia="zh-CN"/>
        </w:rPr>
        <w:t xml:space="preserve"> 1</w:t>
      </w:r>
      <w:r w:rsidRPr="00C602D3">
        <w:rPr>
          <w:b/>
          <w:lang w:eastAsia="zh-CN"/>
        </w:rPr>
        <w:t>:</w:t>
      </w:r>
      <w:r>
        <w:rPr>
          <w:lang w:eastAsia="zh-CN"/>
        </w:rPr>
        <w:t xml:space="preserve"> RAN1 prioritizes design considerations for TBoMS that help prevent or </w:t>
      </w:r>
      <w:proofErr w:type="gramStart"/>
      <w:r>
        <w:rPr>
          <w:lang w:eastAsia="zh-CN"/>
        </w:rPr>
        <w:t>reduce  small</w:t>
      </w:r>
      <w:proofErr w:type="gramEnd"/>
      <w:r>
        <w:rPr>
          <w:lang w:eastAsia="zh-CN"/>
        </w:rPr>
        <w:t xml:space="preserve"> payload segmentation.</w:t>
      </w:r>
    </w:p>
    <w:p w14:paraId="180CACAB" w14:textId="77777777" w:rsidR="00DB3041" w:rsidRDefault="00DB3041" w:rsidP="00DB3041">
      <w:pPr>
        <w:overflowPunct/>
        <w:autoSpaceDE/>
        <w:autoSpaceDN/>
        <w:adjustRightInd/>
        <w:spacing w:before="120" w:after="120" w:line="276" w:lineRule="auto"/>
        <w:jc w:val="both"/>
        <w:textAlignment w:val="auto"/>
        <w:rPr>
          <w:lang w:eastAsia="zh-CN"/>
        </w:rPr>
      </w:pPr>
      <w:r w:rsidRPr="00F521B6">
        <w:rPr>
          <w:b/>
          <w:lang w:eastAsia="zh-CN"/>
        </w:rPr>
        <w:t>Proposal</w:t>
      </w:r>
      <w:r>
        <w:rPr>
          <w:b/>
          <w:lang w:eastAsia="zh-CN"/>
        </w:rPr>
        <w:t xml:space="preserve"> 2</w:t>
      </w:r>
      <w:r w:rsidRPr="00F521B6">
        <w:rPr>
          <w:b/>
          <w:lang w:eastAsia="zh-CN"/>
        </w:rPr>
        <w:t>:</w:t>
      </w:r>
      <w:r>
        <w:rPr>
          <w:lang w:eastAsia="zh-CN"/>
        </w:rPr>
        <w:t xml:space="preserve"> Prioritize a modular approach to TBoMS transmission, i.e., when resources for TBoMS span across multiple contiguous/noncontiguous slots, view resources in each slot as one self-contained segment of a longer transmission.</w:t>
      </w:r>
    </w:p>
    <w:p w14:paraId="1447E49C" w14:textId="77777777" w:rsidR="001450AD" w:rsidRDefault="001450AD" w:rsidP="001450AD">
      <w:pPr>
        <w:overflowPunct/>
        <w:autoSpaceDE/>
        <w:autoSpaceDN/>
        <w:adjustRightInd/>
        <w:spacing w:before="120" w:after="120" w:line="276" w:lineRule="auto"/>
        <w:jc w:val="both"/>
        <w:textAlignment w:val="auto"/>
        <w:rPr>
          <w:lang w:eastAsia="zh-CN"/>
        </w:rPr>
      </w:pPr>
      <w:r w:rsidRPr="00113975">
        <w:rPr>
          <w:b/>
          <w:color w:val="000000" w:themeColor="text1"/>
          <w:lang w:eastAsia="zh-CN"/>
        </w:rPr>
        <w:t>Proposal</w:t>
      </w:r>
      <w:r>
        <w:rPr>
          <w:b/>
          <w:color w:val="000000" w:themeColor="text1"/>
          <w:lang w:eastAsia="zh-CN"/>
        </w:rPr>
        <w:t xml:space="preserve"> 3</w:t>
      </w:r>
      <w:r w:rsidRPr="00113975">
        <w:rPr>
          <w:b/>
          <w:color w:val="000000" w:themeColor="text1"/>
          <w:lang w:eastAsia="zh-CN"/>
        </w:rPr>
        <w:t xml:space="preserve">: </w:t>
      </w:r>
      <w:r>
        <w:rPr>
          <w:lang w:eastAsia="zh-CN"/>
        </w:rPr>
        <w:t>PUSCH repetition Type A serves as a starting point for time domain resource determination of TBoMS.</w:t>
      </w:r>
    </w:p>
    <w:p w14:paraId="0B61EA30" w14:textId="77777777" w:rsidR="00DB3041" w:rsidRPr="005E4C14" w:rsidRDefault="00DB3041" w:rsidP="00DB3041">
      <w:pPr>
        <w:keepNext/>
        <w:jc w:val="both"/>
      </w:pPr>
      <w:r w:rsidRPr="005E4C14">
        <w:rPr>
          <w:b/>
        </w:rPr>
        <w:t>Proposal</w:t>
      </w:r>
      <w:r>
        <w:rPr>
          <w:b/>
        </w:rPr>
        <w:t xml:space="preserve"> 4</w:t>
      </w:r>
      <w:r w:rsidRPr="005E4C14">
        <w:rPr>
          <w:b/>
        </w:rPr>
        <w:t>:</w:t>
      </w:r>
      <w:r w:rsidRPr="005E4C14">
        <w:t xml:space="preserve"> A transmission occasion of a TBoMS transmission constitutes a set of contiguous resources (symbols) spanning one or more slots. A TBoMS transmission can constitute </w:t>
      </w:r>
      <w:r>
        <w:t xml:space="preserve">transmissions across </w:t>
      </w:r>
      <w:r w:rsidRPr="005E4C14">
        <w:t>one o</w:t>
      </w:r>
      <w:r>
        <w:t>r</w:t>
      </w:r>
      <w:r w:rsidRPr="005E4C14">
        <w:t xml:space="preserve"> more transmission occasions. The PUSCH repetition</w:t>
      </w:r>
      <w:r>
        <w:t xml:space="preserve"> type A </w:t>
      </w:r>
      <w:r w:rsidRPr="005E4C14">
        <w:t>and RV cycling framework</w:t>
      </w:r>
      <w:r>
        <w:t xml:space="preserve"> in </w:t>
      </w:r>
      <w:r w:rsidRPr="005E4C14">
        <w:t xml:space="preserve">R15/R16 is repurposed for TBoMS transmission across multiple transmission occasions. </w:t>
      </w:r>
    </w:p>
    <w:p w14:paraId="4661F659" w14:textId="77777777" w:rsidR="00DB3041" w:rsidRDefault="00DB3041" w:rsidP="00DB3041">
      <w:pPr>
        <w:pStyle w:val="ListParagraph"/>
        <w:keepNext/>
        <w:numPr>
          <w:ilvl w:val="0"/>
          <w:numId w:val="34"/>
        </w:numPr>
        <w:jc w:val="both"/>
      </w:pPr>
      <w:r w:rsidRPr="005E4C14">
        <w:t>FFS: limits on maximum duration of a transmission occasion of a TBoMS</w:t>
      </w:r>
      <w:r>
        <w:t>.</w:t>
      </w:r>
    </w:p>
    <w:p w14:paraId="48387491" w14:textId="77777777" w:rsidR="00DB3041" w:rsidRDefault="00DB3041" w:rsidP="00DB3041">
      <w:pPr>
        <w:jc w:val="both"/>
      </w:pPr>
      <w:r w:rsidRPr="00BC01FE">
        <w:rPr>
          <w:b/>
        </w:rPr>
        <w:t>Proposal</w:t>
      </w:r>
      <w:r>
        <w:rPr>
          <w:b/>
        </w:rPr>
        <w:t xml:space="preserve"> 5</w:t>
      </w:r>
      <w:r w:rsidRPr="00BC01FE">
        <w:rPr>
          <w:b/>
        </w:rPr>
        <w:t>:</w:t>
      </w:r>
      <w:r>
        <w:t xml:space="preserve"> Depending on the duration of the transmission occasion spanning contiguous resources, RV index for a transmission within a transmission occasion is chosen based on one of the following two options:</w:t>
      </w:r>
    </w:p>
    <w:p w14:paraId="38DCC8A0" w14:textId="77777777" w:rsidR="00DB3041" w:rsidRDefault="00DB3041" w:rsidP="00DB3041">
      <w:pPr>
        <w:pStyle w:val="ListParagraph"/>
        <w:numPr>
          <w:ilvl w:val="0"/>
          <w:numId w:val="33"/>
        </w:numPr>
        <w:jc w:val="both"/>
      </w:pPr>
      <w:r>
        <w:t>A single RV index is used across the entire transmission occasion.</w:t>
      </w:r>
    </w:p>
    <w:p w14:paraId="090975D3" w14:textId="4AF9CF02" w:rsidR="00DB3041" w:rsidRDefault="00DB3041" w:rsidP="00DB3041">
      <w:pPr>
        <w:pStyle w:val="ListParagraph"/>
        <w:numPr>
          <w:ilvl w:val="0"/>
          <w:numId w:val="33"/>
        </w:numPr>
        <w:jc w:val="both"/>
      </w:pPr>
      <w:r>
        <w:t>An updated RV index is used each time a slot boundary is crossed.</w:t>
      </w:r>
    </w:p>
    <w:p w14:paraId="7405B39C" w14:textId="1DE9F54B" w:rsidR="00DB3041" w:rsidRDefault="00DB3041" w:rsidP="00DB3041">
      <w:pPr>
        <w:jc w:val="both"/>
      </w:pPr>
      <w:r w:rsidRPr="009B672E">
        <w:rPr>
          <w:b/>
        </w:rPr>
        <w:t>Proposal</w:t>
      </w:r>
      <w:r>
        <w:rPr>
          <w:b/>
        </w:rPr>
        <w:t xml:space="preserve"> 6</w:t>
      </w:r>
      <w:r w:rsidRPr="009B672E">
        <w:rPr>
          <w:b/>
        </w:rPr>
        <w:t>:</w:t>
      </w:r>
      <w:r w:rsidRPr="009B672E">
        <w:t xml:space="preserve"> </w:t>
      </w:r>
      <w:r>
        <w:t xml:space="preserve">When determining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t xml:space="preserve"> for TBoMS,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t xml:space="preserve"> is the number of resource elements available in a transmission occasion of TBoMS. </w:t>
      </w:r>
    </w:p>
    <w:p w14:paraId="19C86D59" w14:textId="77777777" w:rsidR="00DB3041" w:rsidRPr="009B672E" w:rsidRDefault="00DB3041" w:rsidP="00DB3041">
      <w:pPr>
        <w:jc w:val="both"/>
      </w:pPr>
      <w:r w:rsidRPr="00A160DC">
        <w:rPr>
          <w:b/>
        </w:rPr>
        <w:t>Proposal</w:t>
      </w:r>
      <w:r>
        <w:rPr>
          <w:b/>
        </w:rPr>
        <w:t xml:space="preserve"> 7</w:t>
      </w:r>
      <w:r w:rsidRPr="00A160DC">
        <w:rPr>
          <w:b/>
        </w:rPr>
        <w:t>:</w:t>
      </w:r>
      <w:r>
        <w:t xml:space="preserve"> When</w:t>
      </w:r>
      <w:r w:rsidRPr="009B672E">
        <w:t xml:space="preserve"> determining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cs="Cambria Math"/>
              </w:rPr>
              <m:t>info</m:t>
            </m:r>
          </m:sub>
        </m:sSub>
      </m:oMath>
      <w:r>
        <w:t xml:space="preserve"> </w:t>
      </w:r>
      <w:r w:rsidRPr="009B672E">
        <w:t xml:space="preserve"> for TBoMS, introduce a new scale factor to compute the intermediate number of information bits. </w:t>
      </w:r>
    </w:p>
    <w:p w14:paraId="3917A49B" w14:textId="77777777" w:rsidR="00DB3041" w:rsidRPr="009B672E" w:rsidRDefault="00DB3041" w:rsidP="00DB3041">
      <w:pPr>
        <w:ind w:left="720"/>
        <w:jc w:val="both"/>
      </w:pPr>
      <w:r w:rsidRPr="009B672E">
        <w:t xml:space="preserve">FFS: permitted values for the scale factor. </w:t>
      </w:r>
    </w:p>
    <w:p w14:paraId="5B12ADC4" w14:textId="77777777" w:rsidR="00DB3041" w:rsidRPr="009B672E" w:rsidRDefault="00DB3041" w:rsidP="00DB3041">
      <w:pPr>
        <w:ind w:left="720"/>
        <w:jc w:val="both"/>
      </w:pPr>
      <w:r w:rsidRPr="009B672E">
        <w:t>FFS: signaling aspects of the scale factor.</w:t>
      </w:r>
    </w:p>
    <w:p w14:paraId="76A121C6" w14:textId="77777777" w:rsidR="00DB3041" w:rsidRPr="009B672E" w:rsidRDefault="00DB3041" w:rsidP="00DB3041">
      <w:pPr>
        <w:ind w:left="720"/>
        <w:jc w:val="both"/>
      </w:pPr>
      <w:r w:rsidRPr="009B672E">
        <w:t>FFS: restrictions on when the scale factor can be used/signaled.</w:t>
      </w:r>
    </w:p>
    <w:p w14:paraId="1E99A683" w14:textId="77777777" w:rsidR="00DB3041" w:rsidRDefault="00DB3041" w:rsidP="00DB3041">
      <w:pPr>
        <w:ind w:left="720"/>
        <w:jc w:val="both"/>
      </w:pPr>
      <w:r w:rsidRPr="009B672E">
        <w:t>Note: No new TB sizes are introduced.</w:t>
      </w:r>
    </w:p>
    <w:p w14:paraId="1515F866" w14:textId="77777777" w:rsidR="00DB3041" w:rsidRDefault="00DB3041" w:rsidP="00DB3041">
      <w:pPr>
        <w:jc w:val="both"/>
      </w:pPr>
      <w:r w:rsidRPr="00FB225B">
        <w:rPr>
          <w:b/>
        </w:rPr>
        <w:t>Proposal</w:t>
      </w:r>
      <w:r>
        <w:rPr>
          <w:b/>
        </w:rPr>
        <w:t xml:space="preserve"> 8</w:t>
      </w:r>
      <w:r w:rsidRPr="009B672E">
        <w:t xml:space="preserve">: For TBoMS, </w:t>
      </w:r>
      <m:oMath>
        <m:sSubSup>
          <m:sSubSupPr>
            <m:ctrlPr>
              <w:rPr>
                <w:rFonts w:ascii="Cambria Math" w:hAnsi="Cambria Math"/>
                <w:i/>
              </w:rPr>
            </m:ctrlPr>
          </m:sSubSupPr>
          <m:e>
            <m:r>
              <w:rPr>
                <w:rFonts w:ascii="Cambria Math" w:hAnsi="Cambria Math" w:cs="Cambria Math"/>
              </w:rPr>
              <m:t>N</m:t>
            </m:r>
            <m:ctrlPr>
              <w:rPr>
                <w:rFonts w:ascii="Cambria Math" w:hAnsi="Cambria Math" w:cs="Cambria Math"/>
                <w:i/>
              </w:rPr>
            </m:ctrlPr>
          </m:e>
          <m:sub>
            <m:r>
              <w:rPr>
                <w:rFonts w:ascii="Cambria Math" w:hAnsi="Cambria Math" w:cs="Cambria Math"/>
              </w:rPr>
              <m:t>OH</m:t>
            </m:r>
          </m:sub>
          <m:sup>
            <m:r>
              <w:rPr>
                <w:rFonts w:ascii="Cambria Math" w:hAnsi="Cambria Math" w:cs="Cambria Math"/>
              </w:rPr>
              <m:t>PRB</m:t>
            </m:r>
          </m:sup>
        </m:sSubSup>
      </m:oMath>
      <w:r w:rsidRPr="009B672E">
        <w:t xml:space="preserve"> is assumed to be the </w:t>
      </w:r>
      <w:r>
        <w:t xml:space="preserve">same across an entire TBoMS transmission occasion is </w:t>
      </w:r>
      <w:r w:rsidRPr="009B672E">
        <w:t xml:space="preserve">configured </w:t>
      </w:r>
      <w:r>
        <w:t>via</w:t>
      </w:r>
      <w:r w:rsidRPr="009B672E">
        <w:t xml:space="preserve"> xOverhead as in Rel-15/16.</w:t>
      </w:r>
    </w:p>
    <w:p w14:paraId="777BE12B" w14:textId="77777777" w:rsidR="00DB3041" w:rsidRDefault="00DB3041" w:rsidP="00DB3041">
      <w:pPr>
        <w:jc w:val="both"/>
      </w:pPr>
      <w:r w:rsidRPr="00462F56">
        <w:rPr>
          <w:b/>
          <w:bCs/>
        </w:rPr>
        <w:t>Proposal</w:t>
      </w:r>
      <w:r>
        <w:rPr>
          <w:b/>
          <w:bCs/>
        </w:rPr>
        <w:t xml:space="preserve"> 9</w:t>
      </w:r>
      <w:r w:rsidRPr="00462F56">
        <w:rPr>
          <w:b/>
          <w:bCs/>
        </w:rPr>
        <w:t xml:space="preserve">: </w:t>
      </w:r>
      <w:r>
        <w:t>Restrict TBoMS transmissions to TB sizes that permit single codeblock transmissions (i.e., entire TB can be encoded as a single codeblock). Furthermore, restrict TBoMS transmission to single layer transmissions.</w:t>
      </w:r>
    </w:p>
    <w:p w14:paraId="02810CFE" w14:textId="765DAAA3" w:rsidR="00746535" w:rsidRPr="002C136E" w:rsidRDefault="00746535" w:rsidP="00016124">
      <w:pPr>
        <w:pStyle w:val="Heading1"/>
        <w:jc w:val="both"/>
        <w:rPr>
          <w:rFonts w:ascii="Times New Roman" w:hAnsi="Times New Roman"/>
        </w:rPr>
      </w:pPr>
      <w:r w:rsidRPr="002C136E">
        <w:rPr>
          <w:rFonts w:ascii="Times New Roman" w:hAnsi="Times New Roman"/>
        </w:rPr>
        <w:lastRenderedPageBreak/>
        <w:t>Reference</w:t>
      </w:r>
      <w:r w:rsidR="00DA19D4">
        <w:rPr>
          <w:rFonts w:ascii="Times New Roman" w:hAnsi="Times New Roman"/>
        </w:rPr>
        <w:t>s</w:t>
      </w:r>
    </w:p>
    <w:p w14:paraId="23A294BD" w14:textId="66D168B6" w:rsidR="00746535" w:rsidRPr="002C136E" w:rsidRDefault="00662FEF" w:rsidP="00DA19D4">
      <w:pPr>
        <w:pStyle w:val="ListParagraph"/>
        <w:numPr>
          <w:ilvl w:val="0"/>
          <w:numId w:val="25"/>
        </w:numPr>
        <w:tabs>
          <w:tab w:val="clear" w:pos="567"/>
          <w:tab w:val="num" w:pos="-216"/>
        </w:tabs>
        <w:spacing w:before="100" w:beforeAutospacing="1" w:after="100" w:afterAutospacing="1"/>
        <w:jc w:val="both"/>
        <w:textAlignment w:val="auto"/>
      </w:pPr>
      <w:bookmarkStart w:id="7" w:name="_Ref40452861"/>
      <w:r>
        <w:t xml:space="preserve"> </w:t>
      </w:r>
      <w:r w:rsidR="00824450" w:rsidRPr="00824450">
        <w:t>“New WID on NR coverage enhancements”, RP-202928, 3GPP TSG RAN meeting #90e, December 7 - 11, 2020</w:t>
      </w:r>
      <w:bookmarkEnd w:id="7"/>
    </w:p>
    <w:sectPr w:rsidR="00746535" w:rsidRPr="002C136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934A8C" w14:textId="77777777" w:rsidR="00864501" w:rsidRDefault="00864501" w:rsidP="00746535">
      <w:pPr>
        <w:spacing w:after="0"/>
      </w:pPr>
      <w:r>
        <w:separator/>
      </w:r>
    </w:p>
  </w:endnote>
  <w:endnote w:type="continuationSeparator" w:id="0">
    <w:p w14:paraId="7BB47A38" w14:textId="77777777" w:rsidR="00864501" w:rsidRDefault="00864501" w:rsidP="00746535">
      <w:pPr>
        <w:spacing w:after="0"/>
      </w:pPr>
      <w:r>
        <w:continuationSeparator/>
      </w:r>
    </w:p>
  </w:endnote>
  <w:endnote w:type="continuationNotice" w:id="1">
    <w:p w14:paraId="7FDEB4B5" w14:textId="77777777" w:rsidR="00864501" w:rsidRDefault="008645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C2374" w14:textId="77777777" w:rsidR="00864501" w:rsidRDefault="00864501" w:rsidP="00746535">
      <w:pPr>
        <w:spacing w:after="0"/>
      </w:pPr>
      <w:r>
        <w:separator/>
      </w:r>
    </w:p>
  </w:footnote>
  <w:footnote w:type="continuationSeparator" w:id="0">
    <w:p w14:paraId="15451782" w14:textId="77777777" w:rsidR="00864501" w:rsidRDefault="00864501" w:rsidP="00746535">
      <w:pPr>
        <w:spacing w:after="0"/>
      </w:pPr>
      <w:r>
        <w:continuationSeparator/>
      </w:r>
    </w:p>
  </w:footnote>
  <w:footnote w:type="continuationNotice" w:id="1">
    <w:p w14:paraId="1D78D273" w14:textId="77777777" w:rsidR="00864501" w:rsidRDefault="008645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7B69C7"/>
    <w:multiLevelType w:val="hybridMultilevel"/>
    <w:tmpl w:val="8A904A98"/>
    <w:lvl w:ilvl="0" w:tplc="341A2C34">
      <w:start w:val="1"/>
      <w:numFmt w:val="decimal"/>
      <w:lvlText w:val="%1."/>
      <w:lvlJc w:val="left"/>
      <w:pPr>
        <w:tabs>
          <w:tab w:val="num" w:pos="720"/>
        </w:tabs>
        <w:ind w:left="720" w:hanging="360"/>
      </w:pPr>
    </w:lvl>
    <w:lvl w:ilvl="1" w:tplc="21FACFA2">
      <w:start w:val="1"/>
      <w:numFmt w:val="decimal"/>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892873"/>
    <w:multiLevelType w:val="hybridMultilevel"/>
    <w:tmpl w:val="171E2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877200"/>
    <w:multiLevelType w:val="hybridMultilevel"/>
    <w:tmpl w:val="6E7E524C"/>
    <w:lvl w:ilvl="0" w:tplc="341A2C34">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C10519"/>
    <w:multiLevelType w:val="hybridMultilevel"/>
    <w:tmpl w:val="A1EC7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233EB6"/>
    <w:multiLevelType w:val="hybridMultilevel"/>
    <w:tmpl w:val="FCEED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CD06219"/>
    <w:multiLevelType w:val="hybridMultilevel"/>
    <w:tmpl w:val="29A64D54"/>
    <w:lvl w:ilvl="0" w:tplc="341A2C34">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E9597D"/>
    <w:multiLevelType w:val="hybridMultilevel"/>
    <w:tmpl w:val="C9EACFB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3"/>
  </w:num>
  <w:num w:numId="3">
    <w:abstractNumId w:val="33"/>
  </w:num>
  <w:num w:numId="4">
    <w:abstractNumId w:val="24"/>
  </w:num>
  <w:num w:numId="5">
    <w:abstractNumId w:val="21"/>
  </w:num>
  <w:num w:numId="6">
    <w:abstractNumId w:val="6"/>
  </w:num>
  <w:num w:numId="7">
    <w:abstractNumId w:val="31"/>
  </w:num>
  <w:num w:numId="8">
    <w:abstractNumId w:val="19"/>
  </w:num>
  <w:num w:numId="9">
    <w:abstractNumId w:val="28"/>
  </w:num>
  <w:num w:numId="10">
    <w:abstractNumId w:val="22"/>
  </w:num>
  <w:num w:numId="11">
    <w:abstractNumId w:val="13"/>
  </w:num>
  <w:num w:numId="12">
    <w:abstractNumId w:val="3"/>
  </w:num>
  <w:num w:numId="13">
    <w:abstractNumId w:val="4"/>
  </w:num>
  <w:num w:numId="14">
    <w:abstractNumId w:val="29"/>
  </w:num>
  <w:num w:numId="15">
    <w:abstractNumId w:val="0"/>
  </w:num>
  <w:num w:numId="16">
    <w:abstractNumId w:val="25"/>
  </w:num>
  <w:num w:numId="17">
    <w:abstractNumId w:val="26"/>
  </w:num>
  <w:num w:numId="18">
    <w:abstractNumId w:val="32"/>
  </w:num>
  <w:num w:numId="19">
    <w:abstractNumId w:val="14"/>
  </w:num>
  <w:num w:numId="20">
    <w:abstractNumId w:val="20"/>
  </w:num>
  <w:num w:numId="21">
    <w:abstractNumId w:val="18"/>
  </w:num>
  <w:num w:numId="22">
    <w:abstractNumId w:val="16"/>
  </w:num>
  <w:num w:numId="23">
    <w:abstractNumId w:val="11"/>
  </w:num>
  <w:num w:numId="24">
    <w:abstractNumId w:val="10"/>
  </w:num>
  <w:num w:numId="25">
    <w:abstractNumId w:val="1"/>
    <w:lvlOverride w:ilvl="0">
      <w:startOverride w:val="1"/>
    </w:lvlOverride>
  </w:num>
  <w:num w:numId="26">
    <w:abstractNumId w:val="2"/>
  </w:num>
  <w:num w:numId="27">
    <w:abstractNumId w:val="27"/>
  </w:num>
  <w:num w:numId="28">
    <w:abstractNumId w:val="9"/>
  </w:num>
  <w:num w:numId="29">
    <w:abstractNumId w:val="15"/>
  </w:num>
  <w:num w:numId="30">
    <w:abstractNumId w:val="8"/>
  </w:num>
  <w:num w:numId="31">
    <w:abstractNumId w:val="7"/>
  </w:num>
  <w:num w:numId="32">
    <w:abstractNumId w:val="17"/>
  </w:num>
  <w:num w:numId="33">
    <w:abstractNumId w:val="12"/>
  </w:num>
  <w:num w:numId="34">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spelling="clean" w:grammar="clean"/>
  <w:defaultTabStop w:val="720"/>
  <w:characterSpacingControl w:val="doNotCompress"/>
  <w:hdrShapeDefaults>
    <o:shapedefaults v:ext="edit" spidmax="1331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44F9"/>
    <w:rsid w:val="00013DF7"/>
    <w:rsid w:val="00016124"/>
    <w:rsid w:val="00017485"/>
    <w:rsid w:val="000228CC"/>
    <w:rsid w:val="000231C0"/>
    <w:rsid w:val="00027BAE"/>
    <w:rsid w:val="00033B0B"/>
    <w:rsid w:val="0003430D"/>
    <w:rsid w:val="00035010"/>
    <w:rsid w:val="0003720A"/>
    <w:rsid w:val="00037B94"/>
    <w:rsid w:val="000410E7"/>
    <w:rsid w:val="00045501"/>
    <w:rsid w:val="00054543"/>
    <w:rsid w:val="00054AE5"/>
    <w:rsid w:val="00055E7D"/>
    <w:rsid w:val="00062718"/>
    <w:rsid w:val="000666F8"/>
    <w:rsid w:val="00073E2D"/>
    <w:rsid w:val="00076018"/>
    <w:rsid w:val="00083372"/>
    <w:rsid w:val="0008376C"/>
    <w:rsid w:val="0008400B"/>
    <w:rsid w:val="00090F2F"/>
    <w:rsid w:val="000937F9"/>
    <w:rsid w:val="000940B2"/>
    <w:rsid w:val="000A7317"/>
    <w:rsid w:val="000A75B0"/>
    <w:rsid w:val="000B1540"/>
    <w:rsid w:val="000B3C26"/>
    <w:rsid w:val="000C2908"/>
    <w:rsid w:val="000D3E4E"/>
    <w:rsid w:val="000D4892"/>
    <w:rsid w:val="000D7297"/>
    <w:rsid w:val="000E36EC"/>
    <w:rsid w:val="000E48F2"/>
    <w:rsid w:val="000E6249"/>
    <w:rsid w:val="000F195F"/>
    <w:rsid w:val="000F5F22"/>
    <w:rsid w:val="000F7B85"/>
    <w:rsid w:val="00100C0C"/>
    <w:rsid w:val="001079CA"/>
    <w:rsid w:val="00112891"/>
    <w:rsid w:val="00113975"/>
    <w:rsid w:val="001216BD"/>
    <w:rsid w:val="001223F3"/>
    <w:rsid w:val="0012415D"/>
    <w:rsid w:val="00124F48"/>
    <w:rsid w:val="00127558"/>
    <w:rsid w:val="0013001B"/>
    <w:rsid w:val="00137270"/>
    <w:rsid w:val="001378EC"/>
    <w:rsid w:val="00137F94"/>
    <w:rsid w:val="001450AD"/>
    <w:rsid w:val="00147337"/>
    <w:rsid w:val="00153674"/>
    <w:rsid w:val="00154732"/>
    <w:rsid w:val="0015502A"/>
    <w:rsid w:val="0016285A"/>
    <w:rsid w:val="0016496A"/>
    <w:rsid w:val="00167A2A"/>
    <w:rsid w:val="001737E1"/>
    <w:rsid w:val="00175632"/>
    <w:rsid w:val="00180764"/>
    <w:rsid w:val="00182A76"/>
    <w:rsid w:val="001930DD"/>
    <w:rsid w:val="00196851"/>
    <w:rsid w:val="001A110A"/>
    <w:rsid w:val="001A39C8"/>
    <w:rsid w:val="001A53F8"/>
    <w:rsid w:val="001A763F"/>
    <w:rsid w:val="001B1669"/>
    <w:rsid w:val="001B21F9"/>
    <w:rsid w:val="001B2355"/>
    <w:rsid w:val="001B50B9"/>
    <w:rsid w:val="001C2832"/>
    <w:rsid w:val="001F7D26"/>
    <w:rsid w:val="00200759"/>
    <w:rsid w:val="002053BB"/>
    <w:rsid w:val="00205606"/>
    <w:rsid w:val="00205ACB"/>
    <w:rsid w:val="00207EBC"/>
    <w:rsid w:val="00213D5D"/>
    <w:rsid w:val="002147D1"/>
    <w:rsid w:val="00215B80"/>
    <w:rsid w:val="00216A8D"/>
    <w:rsid w:val="0022093A"/>
    <w:rsid w:val="00224BA3"/>
    <w:rsid w:val="0023415E"/>
    <w:rsid w:val="00235FDF"/>
    <w:rsid w:val="0024332F"/>
    <w:rsid w:val="002433A0"/>
    <w:rsid w:val="0024472E"/>
    <w:rsid w:val="00247523"/>
    <w:rsid w:val="00260FB9"/>
    <w:rsid w:val="002677CF"/>
    <w:rsid w:val="00273C47"/>
    <w:rsid w:val="002764DD"/>
    <w:rsid w:val="00285D76"/>
    <w:rsid w:val="00292883"/>
    <w:rsid w:val="00296B3D"/>
    <w:rsid w:val="002A1728"/>
    <w:rsid w:val="002A3466"/>
    <w:rsid w:val="002A4E64"/>
    <w:rsid w:val="002A709C"/>
    <w:rsid w:val="002A7B15"/>
    <w:rsid w:val="002B1AE2"/>
    <w:rsid w:val="002B386D"/>
    <w:rsid w:val="002B4CDB"/>
    <w:rsid w:val="002B53C5"/>
    <w:rsid w:val="002C136E"/>
    <w:rsid w:val="002C225D"/>
    <w:rsid w:val="002C7E73"/>
    <w:rsid w:val="002D1318"/>
    <w:rsid w:val="002E1B20"/>
    <w:rsid w:val="002E2613"/>
    <w:rsid w:val="002F4383"/>
    <w:rsid w:val="00301906"/>
    <w:rsid w:val="00304979"/>
    <w:rsid w:val="00305DB3"/>
    <w:rsid w:val="0030770B"/>
    <w:rsid w:val="0031110E"/>
    <w:rsid w:val="003137D2"/>
    <w:rsid w:val="0031510A"/>
    <w:rsid w:val="00322F63"/>
    <w:rsid w:val="00333E72"/>
    <w:rsid w:val="003346F0"/>
    <w:rsid w:val="00342965"/>
    <w:rsid w:val="0034384E"/>
    <w:rsid w:val="0035056C"/>
    <w:rsid w:val="00363585"/>
    <w:rsid w:val="0036381D"/>
    <w:rsid w:val="00363B9A"/>
    <w:rsid w:val="00366981"/>
    <w:rsid w:val="00366B99"/>
    <w:rsid w:val="00366C1C"/>
    <w:rsid w:val="00367345"/>
    <w:rsid w:val="00371B3A"/>
    <w:rsid w:val="0037643F"/>
    <w:rsid w:val="00376CB1"/>
    <w:rsid w:val="00377345"/>
    <w:rsid w:val="003829FD"/>
    <w:rsid w:val="00390DD4"/>
    <w:rsid w:val="00392475"/>
    <w:rsid w:val="00397668"/>
    <w:rsid w:val="003A1C46"/>
    <w:rsid w:val="003B2E70"/>
    <w:rsid w:val="003B5254"/>
    <w:rsid w:val="003B6750"/>
    <w:rsid w:val="003B7686"/>
    <w:rsid w:val="003C1597"/>
    <w:rsid w:val="003C1E22"/>
    <w:rsid w:val="003C2F38"/>
    <w:rsid w:val="003C34CC"/>
    <w:rsid w:val="003C3641"/>
    <w:rsid w:val="003C4F56"/>
    <w:rsid w:val="003C7FA2"/>
    <w:rsid w:val="003D047C"/>
    <w:rsid w:val="003E0D33"/>
    <w:rsid w:val="003E5117"/>
    <w:rsid w:val="003F1425"/>
    <w:rsid w:val="003F214A"/>
    <w:rsid w:val="003F6B18"/>
    <w:rsid w:val="0040345F"/>
    <w:rsid w:val="00410BAC"/>
    <w:rsid w:val="00410CCF"/>
    <w:rsid w:val="00421CD2"/>
    <w:rsid w:val="004230B8"/>
    <w:rsid w:val="0042480E"/>
    <w:rsid w:val="004278C1"/>
    <w:rsid w:val="00431990"/>
    <w:rsid w:val="0043538A"/>
    <w:rsid w:val="0043698B"/>
    <w:rsid w:val="00437EB9"/>
    <w:rsid w:val="00441F88"/>
    <w:rsid w:val="004440D6"/>
    <w:rsid w:val="00450D19"/>
    <w:rsid w:val="0045185F"/>
    <w:rsid w:val="004526F4"/>
    <w:rsid w:val="00462EDF"/>
    <w:rsid w:val="00462F56"/>
    <w:rsid w:val="00473420"/>
    <w:rsid w:val="004772A1"/>
    <w:rsid w:val="004803B7"/>
    <w:rsid w:val="004914D1"/>
    <w:rsid w:val="0049677E"/>
    <w:rsid w:val="00496C2E"/>
    <w:rsid w:val="0049752F"/>
    <w:rsid w:val="004A2C9B"/>
    <w:rsid w:val="004A4A1E"/>
    <w:rsid w:val="004B2F38"/>
    <w:rsid w:val="004B54D6"/>
    <w:rsid w:val="004B55DF"/>
    <w:rsid w:val="004B56F0"/>
    <w:rsid w:val="004B6301"/>
    <w:rsid w:val="004C716B"/>
    <w:rsid w:val="004D10C9"/>
    <w:rsid w:val="004D1327"/>
    <w:rsid w:val="004D3CCB"/>
    <w:rsid w:val="004E48B0"/>
    <w:rsid w:val="004E67B2"/>
    <w:rsid w:val="004F295D"/>
    <w:rsid w:val="004F4610"/>
    <w:rsid w:val="004F6AFC"/>
    <w:rsid w:val="0050049D"/>
    <w:rsid w:val="00507411"/>
    <w:rsid w:val="005152A8"/>
    <w:rsid w:val="005163CE"/>
    <w:rsid w:val="00521AA5"/>
    <w:rsid w:val="0052380E"/>
    <w:rsid w:val="00540AE7"/>
    <w:rsid w:val="005415E2"/>
    <w:rsid w:val="00554794"/>
    <w:rsid w:val="005551B3"/>
    <w:rsid w:val="00555F24"/>
    <w:rsid w:val="00557216"/>
    <w:rsid w:val="00561B6B"/>
    <w:rsid w:val="00563E7A"/>
    <w:rsid w:val="00574132"/>
    <w:rsid w:val="00576517"/>
    <w:rsid w:val="00582F42"/>
    <w:rsid w:val="0059468C"/>
    <w:rsid w:val="00594CE1"/>
    <w:rsid w:val="005A28AF"/>
    <w:rsid w:val="005A33DD"/>
    <w:rsid w:val="005A5FF0"/>
    <w:rsid w:val="005A74CC"/>
    <w:rsid w:val="005B0C9C"/>
    <w:rsid w:val="005B3A24"/>
    <w:rsid w:val="005C0886"/>
    <w:rsid w:val="005C0B6B"/>
    <w:rsid w:val="005C769E"/>
    <w:rsid w:val="005E0961"/>
    <w:rsid w:val="005E1032"/>
    <w:rsid w:val="005E4C14"/>
    <w:rsid w:val="005E5BE5"/>
    <w:rsid w:val="005F2123"/>
    <w:rsid w:val="005F43FC"/>
    <w:rsid w:val="005F534C"/>
    <w:rsid w:val="005F6F46"/>
    <w:rsid w:val="0060309C"/>
    <w:rsid w:val="0060335A"/>
    <w:rsid w:val="006069B3"/>
    <w:rsid w:val="00611CAE"/>
    <w:rsid w:val="006131D0"/>
    <w:rsid w:val="0061387D"/>
    <w:rsid w:val="006149E8"/>
    <w:rsid w:val="006156B4"/>
    <w:rsid w:val="006252CE"/>
    <w:rsid w:val="00627D12"/>
    <w:rsid w:val="006304C7"/>
    <w:rsid w:val="006312D9"/>
    <w:rsid w:val="00634C39"/>
    <w:rsid w:val="006429A1"/>
    <w:rsid w:val="006438F0"/>
    <w:rsid w:val="00645883"/>
    <w:rsid w:val="006477DB"/>
    <w:rsid w:val="0066272D"/>
    <w:rsid w:val="0066276B"/>
    <w:rsid w:val="00662FEF"/>
    <w:rsid w:val="00663B30"/>
    <w:rsid w:val="0066409B"/>
    <w:rsid w:val="0066446C"/>
    <w:rsid w:val="006666C6"/>
    <w:rsid w:val="00674539"/>
    <w:rsid w:val="0067530F"/>
    <w:rsid w:val="00680CA2"/>
    <w:rsid w:val="00680DA8"/>
    <w:rsid w:val="0068217D"/>
    <w:rsid w:val="006B0E0C"/>
    <w:rsid w:val="006B6672"/>
    <w:rsid w:val="006C204E"/>
    <w:rsid w:val="006C3F53"/>
    <w:rsid w:val="006D1381"/>
    <w:rsid w:val="006D28C1"/>
    <w:rsid w:val="006D3CBB"/>
    <w:rsid w:val="006D495C"/>
    <w:rsid w:val="006D764E"/>
    <w:rsid w:val="006E1B48"/>
    <w:rsid w:val="006E6DD1"/>
    <w:rsid w:val="006E6EC9"/>
    <w:rsid w:val="006F38C7"/>
    <w:rsid w:val="006F40BC"/>
    <w:rsid w:val="006F4D72"/>
    <w:rsid w:val="006F6E51"/>
    <w:rsid w:val="007047A9"/>
    <w:rsid w:val="007104FB"/>
    <w:rsid w:val="00711A57"/>
    <w:rsid w:val="007124C4"/>
    <w:rsid w:val="007138AF"/>
    <w:rsid w:val="00714628"/>
    <w:rsid w:val="00721FFC"/>
    <w:rsid w:val="0072519F"/>
    <w:rsid w:val="00732335"/>
    <w:rsid w:val="007359FC"/>
    <w:rsid w:val="0073778F"/>
    <w:rsid w:val="00740832"/>
    <w:rsid w:val="007410FD"/>
    <w:rsid w:val="007439DC"/>
    <w:rsid w:val="00746535"/>
    <w:rsid w:val="007468F1"/>
    <w:rsid w:val="00746ABA"/>
    <w:rsid w:val="00747ED4"/>
    <w:rsid w:val="007515ED"/>
    <w:rsid w:val="007556E1"/>
    <w:rsid w:val="0076488F"/>
    <w:rsid w:val="0078086F"/>
    <w:rsid w:val="00782900"/>
    <w:rsid w:val="007833A7"/>
    <w:rsid w:val="00786AC7"/>
    <w:rsid w:val="00794097"/>
    <w:rsid w:val="007A2558"/>
    <w:rsid w:val="007A701D"/>
    <w:rsid w:val="007B613E"/>
    <w:rsid w:val="007B79E2"/>
    <w:rsid w:val="007C360E"/>
    <w:rsid w:val="007D58CF"/>
    <w:rsid w:val="007D6638"/>
    <w:rsid w:val="007E6BE6"/>
    <w:rsid w:val="007F3B35"/>
    <w:rsid w:val="008007E9"/>
    <w:rsid w:val="00800CD0"/>
    <w:rsid w:val="00803B87"/>
    <w:rsid w:val="00806D7A"/>
    <w:rsid w:val="00807B78"/>
    <w:rsid w:val="00810E1F"/>
    <w:rsid w:val="008117DC"/>
    <w:rsid w:val="00813DE7"/>
    <w:rsid w:val="00815CB3"/>
    <w:rsid w:val="00822AA7"/>
    <w:rsid w:val="008243A9"/>
    <w:rsid w:val="00824450"/>
    <w:rsid w:val="008410FB"/>
    <w:rsid w:val="00857E3A"/>
    <w:rsid w:val="008609B4"/>
    <w:rsid w:val="00864501"/>
    <w:rsid w:val="0087613F"/>
    <w:rsid w:val="00890434"/>
    <w:rsid w:val="00890742"/>
    <w:rsid w:val="00892410"/>
    <w:rsid w:val="00895EC4"/>
    <w:rsid w:val="0089760F"/>
    <w:rsid w:val="008976E1"/>
    <w:rsid w:val="008A2692"/>
    <w:rsid w:val="008A4299"/>
    <w:rsid w:val="008A4477"/>
    <w:rsid w:val="008A7FE8"/>
    <w:rsid w:val="008B006C"/>
    <w:rsid w:val="008B2264"/>
    <w:rsid w:val="008B6116"/>
    <w:rsid w:val="008C1A35"/>
    <w:rsid w:val="008C2E12"/>
    <w:rsid w:val="008D17C1"/>
    <w:rsid w:val="008D23FB"/>
    <w:rsid w:val="008D7A9D"/>
    <w:rsid w:val="008E0EAF"/>
    <w:rsid w:val="008E0EE9"/>
    <w:rsid w:val="008E1813"/>
    <w:rsid w:val="008F09BA"/>
    <w:rsid w:val="008F32F6"/>
    <w:rsid w:val="008F5BE4"/>
    <w:rsid w:val="008F77C6"/>
    <w:rsid w:val="00901695"/>
    <w:rsid w:val="00904C38"/>
    <w:rsid w:val="00906266"/>
    <w:rsid w:val="0091288C"/>
    <w:rsid w:val="009238DC"/>
    <w:rsid w:val="0092763C"/>
    <w:rsid w:val="00931EA6"/>
    <w:rsid w:val="009320D5"/>
    <w:rsid w:val="00932B8E"/>
    <w:rsid w:val="00934D80"/>
    <w:rsid w:val="0093764E"/>
    <w:rsid w:val="0094127A"/>
    <w:rsid w:val="00943773"/>
    <w:rsid w:val="009447F6"/>
    <w:rsid w:val="0094699A"/>
    <w:rsid w:val="00951051"/>
    <w:rsid w:val="009522CE"/>
    <w:rsid w:val="009531D3"/>
    <w:rsid w:val="009565AF"/>
    <w:rsid w:val="00956D39"/>
    <w:rsid w:val="00957257"/>
    <w:rsid w:val="00957DC7"/>
    <w:rsid w:val="00962883"/>
    <w:rsid w:val="00964AF1"/>
    <w:rsid w:val="00966C7B"/>
    <w:rsid w:val="009712B1"/>
    <w:rsid w:val="009761D3"/>
    <w:rsid w:val="009909BF"/>
    <w:rsid w:val="00994513"/>
    <w:rsid w:val="00995E87"/>
    <w:rsid w:val="009A193B"/>
    <w:rsid w:val="009A1EFD"/>
    <w:rsid w:val="009A22AE"/>
    <w:rsid w:val="009B672E"/>
    <w:rsid w:val="009C46F8"/>
    <w:rsid w:val="009C52E6"/>
    <w:rsid w:val="009D299F"/>
    <w:rsid w:val="009D2ECE"/>
    <w:rsid w:val="009D3364"/>
    <w:rsid w:val="009E09EA"/>
    <w:rsid w:val="009E2F82"/>
    <w:rsid w:val="009E6142"/>
    <w:rsid w:val="009E7305"/>
    <w:rsid w:val="009F1389"/>
    <w:rsid w:val="009F4343"/>
    <w:rsid w:val="009F485D"/>
    <w:rsid w:val="009F7E80"/>
    <w:rsid w:val="00A009B2"/>
    <w:rsid w:val="00A03B93"/>
    <w:rsid w:val="00A116F3"/>
    <w:rsid w:val="00A1257C"/>
    <w:rsid w:val="00A1296F"/>
    <w:rsid w:val="00A160DC"/>
    <w:rsid w:val="00A20F64"/>
    <w:rsid w:val="00A23FDB"/>
    <w:rsid w:val="00A245A4"/>
    <w:rsid w:val="00A30E57"/>
    <w:rsid w:val="00A4372A"/>
    <w:rsid w:val="00A471DD"/>
    <w:rsid w:val="00A51892"/>
    <w:rsid w:val="00A559FB"/>
    <w:rsid w:val="00A61F99"/>
    <w:rsid w:val="00A62DC0"/>
    <w:rsid w:val="00A62F46"/>
    <w:rsid w:val="00A65FDA"/>
    <w:rsid w:val="00A87C2B"/>
    <w:rsid w:val="00A91472"/>
    <w:rsid w:val="00A92638"/>
    <w:rsid w:val="00A9321F"/>
    <w:rsid w:val="00A93F78"/>
    <w:rsid w:val="00A97F1A"/>
    <w:rsid w:val="00AB1B29"/>
    <w:rsid w:val="00AC1CBE"/>
    <w:rsid w:val="00AC6DEC"/>
    <w:rsid w:val="00AC7489"/>
    <w:rsid w:val="00AD2B31"/>
    <w:rsid w:val="00AD4509"/>
    <w:rsid w:val="00AF275E"/>
    <w:rsid w:val="00B04BAB"/>
    <w:rsid w:val="00B1655A"/>
    <w:rsid w:val="00B27123"/>
    <w:rsid w:val="00B275E2"/>
    <w:rsid w:val="00B27AD3"/>
    <w:rsid w:val="00B34EBA"/>
    <w:rsid w:val="00B44098"/>
    <w:rsid w:val="00B46671"/>
    <w:rsid w:val="00B517CB"/>
    <w:rsid w:val="00B57C90"/>
    <w:rsid w:val="00B62098"/>
    <w:rsid w:val="00B64E95"/>
    <w:rsid w:val="00B65198"/>
    <w:rsid w:val="00B6747F"/>
    <w:rsid w:val="00B708EF"/>
    <w:rsid w:val="00B74161"/>
    <w:rsid w:val="00B743EA"/>
    <w:rsid w:val="00B76B2C"/>
    <w:rsid w:val="00B87F86"/>
    <w:rsid w:val="00B9006A"/>
    <w:rsid w:val="00B9133F"/>
    <w:rsid w:val="00B944EF"/>
    <w:rsid w:val="00BA10B3"/>
    <w:rsid w:val="00BA1AF7"/>
    <w:rsid w:val="00BA356E"/>
    <w:rsid w:val="00BB16D7"/>
    <w:rsid w:val="00BB62C1"/>
    <w:rsid w:val="00BC01FE"/>
    <w:rsid w:val="00BC1530"/>
    <w:rsid w:val="00BC1EAA"/>
    <w:rsid w:val="00BC4293"/>
    <w:rsid w:val="00BC4A0C"/>
    <w:rsid w:val="00BC5B1A"/>
    <w:rsid w:val="00BC5D5A"/>
    <w:rsid w:val="00BD1EF3"/>
    <w:rsid w:val="00BD27F3"/>
    <w:rsid w:val="00BD36DA"/>
    <w:rsid w:val="00BD4DF5"/>
    <w:rsid w:val="00BD7640"/>
    <w:rsid w:val="00BD7A22"/>
    <w:rsid w:val="00BE04D4"/>
    <w:rsid w:val="00BE3378"/>
    <w:rsid w:val="00BE4F87"/>
    <w:rsid w:val="00BE71B7"/>
    <w:rsid w:val="00BE7C22"/>
    <w:rsid w:val="00BF0F65"/>
    <w:rsid w:val="00BF2BC6"/>
    <w:rsid w:val="00BF3D78"/>
    <w:rsid w:val="00C00294"/>
    <w:rsid w:val="00C03B4D"/>
    <w:rsid w:val="00C10BDE"/>
    <w:rsid w:val="00C14406"/>
    <w:rsid w:val="00C24AAA"/>
    <w:rsid w:val="00C25ECC"/>
    <w:rsid w:val="00C267FF"/>
    <w:rsid w:val="00C30629"/>
    <w:rsid w:val="00C3353D"/>
    <w:rsid w:val="00C356F4"/>
    <w:rsid w:val="00C3625E"/>
    <w:rsid w:val="00C37C05"/>
    <w:rsid w:val="00C40DAA"/>
    <w:rsid w:val="00C4570A"/>
    <w:rsid w:val="00C463CB"/>
    <w:rsid w:val="00C477E4"/>
    <w:rsid w:val="00C50B43"/>
    <w:rsid w:val="00C54480"/>
    <w:rsid w:val="00C545E2"/>
    <w:rsid w:val="00C602D3"/>
    <w:rsid w:val="00C64487"/>
    <w:rsid w:val="00C66ADC"/>
    <w:rsid w:val="00C67790"/>
    <w:rsid w:val="00C67974"/>
    <w:rsid w:val="00C71071"/>
    <w:rsid w:val="00C71211"/>
    <w:rsid w:val="00C716AA"/>
    <w:rsid w:val="00C72AC4"/>
    <w:rsid w:val="00C74CCF"/>
    <w:rsid w:val="00C803BF"/>
    <w:rsid w:val="00C810CB"/>
    <w:rsid w:val="00C83D78"/>
    <w:rsid w:val="00C93DE0"/>
    <w:rsid w:val="00CA1D58"/>
    <w:rsid w:val="00CA4E54"/>
    <w:rsid w:val="00CA6468"/>
    <w:rsid w:val="00CA785A"/>
    <w:rsid w:val="00CC0B59"/>
    <w:rsid w:val="00CC6DF7"/>
    <w:rsid w:val="00CD011F"/>
    <w:rsid w:val="00CD0C3C"/>
    <w:rsid w:val="00CD1A59"/>
    <w:rsid w:val="00CD6108"/>
    <w:rsid w:val="00CD64B3"/>
    <w:rsid w:val="00CD7305"/>
    <w:rsid w:val="00CE36EB"/>
    <w:rsid w:val="00CE5778"/>
    <w:rsid w:val="00CF0BF1"/>
    <w:rsid w:val="00CF651F"/>
    <w:rsid w:val="00CF6905"/>
    <w:rsid w:val="00D0418E"/>
    <w:rsid w:val="00D061C5"/>
    <w:rsid w:val="00D06530"/>
    <w:rsid w:val="00D07847"/>
    <w:rsid w:val="00D11F72"/>
    <w:rsid w:val="00D13B30"/>
    <w:rsid w:val="00D14F38"/>
    <w:rsid w:val="00D27C68"/>
    <w:rsid w:val="00D320A2"/>
    <w:rsid w:val="00D34DF2"/>
    <w:rsid w:val="00D416B4"/>
    <w:rsid w:val="00D437B5"/>
    <w:rsid w:val="00D4562D"/>
    <w:rsid w:val="00D50538"/>
    <w:rsid w:val="00D52C88"/>
    <w:rsid w:val="00D62411"/>
    <w:rsid w:val="00D643C0"/>
    <w:rsid w:val="00D650EB"/>
    <w:rsid w:val="00D6546F"/>
    <w:rsid w:val="00D675BC"/>
    <w:rsid w:val="00D70504"/>
    <w:rsid w:val="00D7064E"/>
    <w:rsid w:val="00D7086E"/>
    <w:rsid w:val="00D74914"/>
    <w:rsid w:val="00D764E9"/>
    <w:rsid w:val="00D80BC1"/>
    <w:rsid w:val="00D824B7"/>
    <w:rsid w:val="00D840E8"/>
    <w:rsid w:val="00D84CD2"/>
    <w:rsid w:val="00D928A1"/>
    <w:rsid w:val="00D9584E"/>
    <w:rsid w:val="00D96C5B"/>
    <w:rsid w:val="00D97D65"/>
    <w:rsid w:val="00DA016E"/>
    <w:rsid w:val="00DA19D4"/>
    <w:rsid w:val="00DA39B5"/>
    <w:rsid w:val="00DA49E7"/>
    <w:rsid w:val="00DA7DD6"/>
    <w:rsid w:val="00DB1C0E"/>
    <w:rsid w:val="00DB3041"/>
    <w:rsid w:val="00DB531B"/>
    <w:rsid w:val="00DC0CD9"/>
    <w:rsid w:val="00DC510D"/>
    <w:rsid w:val="00DC5414"/>
    <w:rsid w:val="00DC5EB9"/>
    <w:rsid w:val="00DC6EAB"/>
    <w:rsid w:val="00DC7134"/>
    <w:rsid w:val="00DD4550"/>
    <w:rsid w:val="00DD69FD"/>
    <w:rsid w:val="00DE2926"/>
    <w:rsid w:val="00DE74EA"/>
    <w:rsid w:val="00DF1D01"/>
    <w:rsid w:val="00DF33DD"/>
    <w:rsid w:val="00DF54DD"/>
    <w:rsid w:val="00DF6030"/>
    <w:rsid w:val="00DF6E70"/>
    <w:rsid w:val="00E01FF8"/>
    <w:rsid w:val="00E032B0"/>
    <w:rsid w:val="00E06688"/>
    <w:rsid w:val="00E07788"/>
    <w:rsid w:val="00E12985"/>
    <w:rsid w:val="00E1573D"/>
    <w:rsid w:val="00E1751D"/>
    <w:rsid w:val="00E22CBF"/>
    <w:rsid w:val="00E238D0"/>
    <w:rsid w:val="00E32BFB"/>
    <w:rsid w:val="00E364EE"/>
    <w:rsid w:val="00E41DC6"/>
    <w:rsid w:val="00E42DF7"/>
    <w:rsid w:val="00E455AF"/>
    <w:rsid w:val="00E53A2A"/>
    <w:rsid w:val="00E57572"/>
    <w:rsid w:val="00E629BB"/>
    <w:rsid w:val="00E65D8E"/>
    <w:rsid w:val="00E669B0"/>
    <w:rsid w:val="00E67437"/>
    <w:rsid w:val="00E678DE"/>
    <w:rsid w:val="00E71774"/>
    <w:rsid w:val="00E766CF"/>
    <w:rsid w:val="00E8739F"/>
    <w:rsid w:val="00E905B7"/>
    <w:rsid w:val="00E95265"/>
    <w:rsid w:val="00EA0189"/>
    <w:rsid w:val="00EA510D"/>
    <w:rsid w:val="00EB3B02"/>
    <w:rsid w:val="00EB3B21"/>
    <w:rsid w:val="00EC538C"/>
    <w:rsid w:val="00ED13E3"/>
    <w:rsid w:val="00ED2945"/>
    <w:rsid w:val="00ED45E2"/>
    <w:rsid w:val="00ED6662"/>
    <w:rsid w:val="00ED7FAA"/>
    <w:rsid w:val="00EE0670"/>
    <w:rsid w:val="00EF0716"/>
    <w:rsid w:val="00EF1923"/>
    <w:rsid w:val="00EF63F6"/>
    <w:rsid w:val="00EF74F2"/>
    <w:rsid w:val="00F007E2"/>
    <w:rsid w:val="00F04885"/>
    <w:rsid w:val="00F04F6C"/>
    <w:rsid w:val="00F07053"/>
    <w:rsid w:val="00F11D3C"/>
    <w:rsid w:val="00F13199"/>
    <w:rsid w:val="00F15D3A"/>
    <w:rsid w:val="00F16BBE"/>
    <w:rsid w:val="00F2026C"/>
    <w:rsid w:val="00F21DE7"/>
    <w:rsid w:val="00F22190"/>
    <w:rsid w:val="00F2284D"/>
    <w:rsid w:val="00F2381C"/>
    <w:rsid w:val="00F253D2"/>
    <w:rsid w:val="00F2661C"/>
    <w:rsid w:val="00F340E0"/>
    <w:rsid w:val="00F438B8"/>
    <w:rsid w:val="00F50563"/>
    <w:rsid w:val="00F50886"/>
    <w:rsid w:val="00F50A9F"/>
    <w:rsid w:val="00F521B6"/>
    <w:rsid w:val="00F52F34"/>
    <w:rsid w:val="00F53E0E"/>
    <w:rsid w:val="00F5436E"/>
    <w:rsid w:val="00F63DA3"/>
    <w:rsid w:val="00F65A25"/>
    <w:rsid w:val="00F67A42"/>
    <w:rsid w:val="00F7755C"/>
    <w:rsid w:val="00F77789"/>
    <w:rsid w:val="00F803D5"/>
    <w:rsid w:val="00F834DF"/>
    <w:rsid w:val="00F92D4C"/>
    <w:rsid w:val="00F9780C"/>
    <w:rsid w:val="00FA0573"/>
    <w:rsid w:val="00FA2AD6"/>
    <w:rsid w:val="00FA6806"/>
    <w:rsid w:val="00FB225B"/>
    <w:rsid w:val="00FB3BD6"/>
    <w:rsid w:val="00FC1708"/>
    <w:rsid w:val="00FC24C1"/>
    <w:rsid w:val="00FC2829"/>
    <w:rsid w:val="00FD1F97"/>
    <w:rsid w:val="00FE2282"/>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88694569">
      <w:bodyDiv w:val="1"/>
      <w:marLeft w:val="0"/>
      <w:marRight w:val="0"/>
      <w:marTop w:val="0"/>
      <w:marBottom w:val="0"/>
      <w:divBdr>
        <w:top w:val="none" w:sz="0" w:space="0" w:color="auto"/>
        <w:left w:val="none" w:sz="0" w:space="0" w:color="auto"/>
        <w:bottom w:val="none" w:sz="0" w:space="0" w:color="auto"/>
        <w:right w:val="none" w:sz="0" w:space="0" w:color="auto"/>
      </w:divBdr>
    </w:div>
    <w:div w:id="98525081">
      <w:bodyDiv w:val="1"/>
      <w:marLeft w:val="0"/>
      <w:marRight w:val="0"/>
      <w:marTop w:val="0"/>
      <w:marBottom w:val="0"/>
      <w:divBdr>
        <w:top w:val="none" w:sz="0" w:space="0" w:color="auto"/>
        <w:left w:val="none" w:sz="0" w:space="0" w:color="auto"/>
        <w:bottom w:val="none" w:sz="0" w:space="0" w:color="auto"/>
        <w:right w:val="none" w:sz="0" w:space="0" w:color="auto"/>
      </w:divBdr>
      <w:divsChild>
        <w:div w:id="7028881">
          <w:marLeft w:val="1440"/>
          <w:marRight w:val="0"/>
          <w:marTop w:val="0"/>
          <w:marBottom w:val="0"/>
          <w:divBdr>
            <w:top w:val="none" w:sz="0" w:space="0" w:color="auto"/>
            <w:left w:val="none" w:sz="0" w:space="0" w:color="auto"/>
            <w:bottom w:val="none" w:sz="0" w:space="0" w:color="auto"/>
            <w:right w:val="none" w:sz="0" w:space="0" w:color="auto"/>
          </w:divBdr>
        </w:div>
        <w:div w:id="211503854">
          <w:marLeft w:val="720"/>
          <w:marRight w:val="0"/>
          <w:marTop w:val="240"/>
          <w:marBottom w:val="0"/>
          <w:divBdr>
            <w:top w:val="none" w:sz="0" w:space="0" w:color="auto"/>
            <w:left w:val="none" w:sz="0" w:space="0" w:color="auto"/>
            <w:bottom w:val="none" w:sz="0" w:space="0" w:color="auto"/>
            <w:right w:val="none" w:sz="0" w:space="0" w:color="auto"/>
          </w:divBdr>
        </w:div>
        <w:div w:id="212041575">
          <w:marLeft w:val="720"/>
          <w:marRight w:val="0"/>
          <w:marTop w:val="240"/>
          <w:marBottom w:val="0"/>
          <w:divBdr>
            <w:top w:val="none" w:sz="0" w:space="0" w:color="auto"/>
            <w:left w:val="none" w:sz="0" w:space="0" w:color="auto"/>
            <w:bottom w:val="none" w:sz="0" w:space="0" w:color="auto"/>
            <w:right w:val="none" w:sz="0" w:space="0" w:color="auto"/>
          </w:divBdr>
        </w:div>
        <w:div w:id="511604907">
          <w:marLeft w:val="547"/>
          <w:marRight w:val="0"/>
          <w:marTop w:val="240"/>
          <w:marBottom w:val="0"/>
          <w:divBdr>
            <w:top w:val="none" w:sz="0" w:space="0" w:color="auto"/>
            <w:left w:val="none" w:sz="0" w:space="0" w:color="auto"/>
            <w:bottom w:val="none" w:sz="0" w:space="0" w:color="auto"/>
            <w:right w:val="none" w:sz="0" w:space="0" w:color="auto"/>
          </w:divBdr>
        </w:div>
        <w:div w:id="546642434">
          <w:marLeft w:val="1440"/>
          <w:marRight w:val="0"/>
          <w:marTop w:val="0"/>
          <w:marBottom w:val="0"/>
          <w:divBdr>
            <w:top w:val="none" w:sz="0" w:space="0" w:color="auto"/>
            <w:left w:val="none" w:sz="0" w:space="0" w:color="auto"/>
            <w:bottom w:val="none" w:sz="0" w:space="0" w:color="auto"/>
            <w:right w:val="none" w:sz="0" w:space="0" w:color="auto"/>
          </w:divBdr>
        </w:div>
        <w:div w:id="873806589">
          <w:marLeft w:val="216"/>
          <w:marRight w:val="0"/>
          <w:marTop w:val="240"/>
          <w:marBottom w:val="0"/>
          <w:divBdr>
            <w:top w:val="none" w:sz="0" w:space="0" w:color="auto"/>
            <w:left w:val="none" w:sz="0" w:space="0" w:color="auto"/>
            <w:bottom w:val="none" w:sz="0" w:space="0" w:color="auto"/>
            <w:right w:val="none" w:sz="0" w:space="0" w:color="auto"/>
          </w:divBdr>
        </w:div>
        <w:div w:id="1222983509">
          <w:marLeft w:val="216"/>
          <w:marRight w:val="0"/>
          <w:marTop w:val="240"/>
          <w:marBottom w:val="0"/>
          <w:divBdr>
            <w:top w:val="none" w:sz="0" w:space="0" w:color="auto"/>
            <w:left w:val="none" w:sz="0" w:space="0" w:color="auto"/>
            <w:bottom w:val="none" w:sz="0" w:space="0" w:color="auto"/>
            <w:right w:val="none" w:sz="0" w:space="0" w:color="auto"/>
          </w:divBdr>
        </w:div>
        <w:div w:id="1318192935">
          <w:marLeft w:val="547"/>
          <w:marRight w:val="0"/>
          <w:marTop w:val="240"/>
          <w:marBottom w:val="0"/>
          <w:divBdr>
            <w:top w:val="none" w:sz="0" w:space="0" w:color="auto"/>
            <w:left w:val="none" w:sz="0" w:space="0" w:color="auto"/>
            <w:bottom w:val="none" w:sz="0" w:space="0" w:color="auto"/>
            <w:right w:val="none" w:sz="0" w:space="0" w:color="auto"/>
          </w:divBdr>
        </w:div>
        <w:div w:id="1604873696">
          <w:marLeft w:val="1267"/>
          <w:marRight w:val="0"/>
          <w:marTop w:val="0"/>
          <w:marBottom w:val="0"/>
          <w:divBdr>
            <w:top w:val="none" w:sz="0" w:space="0" w:color="auto"/>
            <w:left w:val="none" w:sz="0" w:space="0" w:color="auto"/>
            <w:bottom w:val="none" w:sz="0" w:space="0" w:color="auto"/>
            <w:right w:val="none" w:sz="0" w:space="0" w:color="auto"/>
          </w:divBdr>
        </w:div>
      </w:divsChild>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18213873">
      <w:bodyDiv w:val="1"/>
      <w:marLeft w:val="0"/>
      <w:marRight w:val="0"/>
      <w:marTop w:val="0"/>
      <w:marBottom w:val="0"/>
      <w:divBdr>
        <w:top w:val="none" w:sz="0" w:space="0" w:color="auto"/>
        <w:left w:val="none" w:sz="0" w:space="0" w:color="auto"/>
        <w:bottom w:val="none" w:sz="0" w:space="0" w:color="auto"/>
        <w:right w:val="none" w:sz="0" w:space="0" w:color="auto"/>
      </w:divBdr>
      <w:divsChild>
        <w:div w:id="400370405">
          <w:marLeft w:val="216"/>
          <w:marRight w:val="0"/>
          <w:marTop w:val="24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976253206">
      <w:bodyDiv w:val="1"/>
      <w:marLeft w:val="0"/>
      <w:marRight w:val="0"/>
      <w:marTop w:val="0"/>
      <w:marBottom w:val="0"/>
      <w:divBdr>
        <w:top w:val="none" w:sz="0" w:space="0" w:color="auto"/>
        <w:left w:val="none" w:sz="0" w:space="0" w:color="auto"/>
        <w:bottom w:val="none" w:sz="0" w:space="0" w:color="auto"/>
        <w:right w:val="none" w:sz="0" w:space="0" w:color="auto"/>
      </w:divBdr>
      <w:divsChild>
        <w:div w:id="141776074">
          <w:marLeft w:val="850"/>
          <w:marRight w:val="0"/>
          <w:marTop w:val="0"/>
          <w:marBottom w:val="0"/>
          <w:divBdr>
            <w:top w:val="none" w:sz="0" w:space="0" w:color="auto"/>
            <w:left w:val="none" w:sz="0" w:space="0" w:color="auto"/>
            <w:bottom w:val="none" w:sz="0" w:space="0" w:color="auto"/>
            <w:right w:val="none" w:sz="0" w:space="0" w:color="auto"/>
          </w:divBdr>
        </w:div>
        <w:div w:id="186139204">
          <w:marLeft w:val="821"/>
          <w:marRight w:val="0"/>
          <w:marTop w:val="0"/>
          <w:marBottom w:val="0"/>
          <w:divBdr>
            <w:top w:val="none" w:sz="0" w:space="0" w:color="auto"/>
            <w:left w:val="none" w:sz="0" w:space="0" w:color="auto"/>
            <w:bottom w:val="none" w:sz="0" w:space="0" w:color="auto"/>
            <w:right w:val="none" w:sz="0" w:space="0" w:color="auto"/>
          </w:divBdr>
        </w:div>
        <w:div w:id="297993805">
          <w:marLeft w:val="821"/>
          <w:marRight w:val="0"/>
          <w:marTop w:val="0"/>
          <w:marBottom w:val="0"/>
          <w:divBdr>
            <w:top w:val="none" w:sz="0" w:space="0" w:color="auto"/>
            <w:left w:val="none" w:sz="0" w:space="0" w:color="auto"/>
            <w:bottom w:val="none" w:sz="0" w:space="0" w:color="auto"/>
            <w:right w:val="none" w:sz="0" w:space="0" w:color="auto"/>
          </w:divBdr>
        </w:div>
        <w:div w:id="354577326">
          <w:marLeft w:val="850"/>
          <w:marRight w:val="0"/>
          <w:marTop w:val="0"/>
          <w:marBottom w:val="0"/>
          <w:divBdr>
            <w:top w:val="none" w:sz="0" w:space="0" w:color="auto"/>
            <w:left w:val="none" w:sz="0" w:space="0" w:color="auto"/>
            <w:bottom w:val="none" w:sz="0" w:space="0" w:color="auto"/>
            <w:right w:val="none" w:sz="0" w:space="0" w:color="auto"/>
          </w:divBdr>
        </w:div>
        <w:div w:id="367485342">
          <w:marLeft w:val="821"/>
          <w:marRight w:val="0"/>
          <w:marTop w:val="0"/>
          <w:marBottom w:val="0"/>
          <w:divBdr>
            <w:top w:val="none" w:sz="0" w:space="0" w:color="auto"/>
            <w:left w:val="none" w:sz="0" w:space="0" w:color="auto"/>
            <w:bottom w:val="none" w:sz="0" w:space="0" w:color="auto"/>
            <w:right w:val="none" w:sz="0" w:space="0" w:color="auto"/>
          </w:divBdr>
        </w:div>
        <w:div w:id="370884999">
          <w:marLeft w:val="850"/>
          <w:marRight w:val="0"/>
          <w:marTop w:val="0"/>
          <w:marBottom w:val="0"/>
          <w:divBdr>
            <w:top w:val="none" w:sz="0" w:space="0" w:color="auto"/>
            <w:left w:val="none" w:sz="0" w:space="0" w:color="auto"/>
            <w:bottom w:val="none" w:sz="0" w:space="0" w:color="auto"/>
            <w:right w:val="none" w:sz="0" w:space="0" w:color="auto"/>
          </w:divBdr>
        </w:div>
        <w:div w:id="952245694">
          <w:marLeft w:val="821"/>
          <w:marRight w:val="0"/>
          <w:marTop w:val="0"/>
          <w:marBottom w:val="0"/>
          <w:divBdr>
            <w:top w:val="none" w:sz="0" w:space="0" w:color="auto"/>
            <w:left w:val="none" w:sz="0" w:space="0" w:color="auto"/>
            <w:bottom w:val="none" w:sz="0" w:space="0" w:color="auto"/>
            <w:right w:val="none" w:sz="0" w:space="0" w:color="auto"/>
          </w:divBdr>
        </w:div>
        <w:div w:id="1190291656">
          <w:marLeft w:val="821"/>
          <w:marRight w:val="0"/>
          <w:marTop w:val="0"/>
          <w:marBottom w:val="0"/>
          <w:divBdr>
            <w:top w:val="none" w:sz="0" w:space="0" w:color="auto"/>
            <w:left w:val="none" w:sz="0" w:space="0" w:color="auto"/>
            <w:bottom w:val="none" w:sz="0" w:space="0" w:color="auto"/>
            <w:right w:val="none" w:sz="0" w:space="0" w:color="auto"/>
          </w:divBdr>
        </w:div>
        <w:div w:id="1252275230">
          <w:marLeft w:val="850"/>
          <w:marRight w:val="0"/>
          <w:marTop w:val="0"/>
          <w:marBottom w:val="0"/>
          <w:divBdr>
            <w:top w:val="none" w:sz="0" w:space="0" w:color="auto"/>
            <w:left w:val="none" w:sz="0" w:space="0" w:color="auto"/>
            <w:bottom w:val="none" w:sz="0" w:space="0" w:color="auto"/>
            <w:right w:val="none" w:sz="0" w:space="0" w:color="auto"/>
          </w:divBdr>
        </w:div>
        <w:div w:id="1508714005">
          <w:marLeft w:val="821"/>
          <w:marRight w:val="0"/>
          <w:marTop w:val="0"/>
          <w:marBottom w:val="0"/>
          <w:divBdr>
            <w:top w:val="none" w:sz="0" w:space="0" w:color="auto"/>
            <w:left w:val="none" w:sz="0" w:space="0" w:color="auto"/>
            <w:bottom w:val="none" w:sz="0" w:space="0" w:color="auto"/>
            <w:right w:val="none" w:sz="0" w:space="0" w:color="auto"/>
          </w:divBdr>
        </w:div>
        <w:div w:id="1696810656">
          <w:marLeft w:val="821"/>
          <w:marRight w:val="0"/>
          <w:marTop w:val="0"/>
          <w:marBottom w:val="0"/>
          <w:divBdr>
            <w:top w:val="none" w:sz="0" w:space="0" w:color="auto"/>
            <w:left w:val="none" w:sz="0" w:space="0" w:color="auto"/>
            <w:bottom w:val="none" w:sz="0" w:space="0" w:color="auto"/>
            <w:right w:val="none" w:sz="0" w:space="0" w:color="auto"/>
          </w:divBdr>
        </w:div>
        <w:div w:id="2079860574">
          <w:marLeft w:val="850"/>
          <w:marRight w:val="0"/>
          <w:marTop w:val="0"/>
          <w:marBottom w:val="0"/>
          <w:divBdr>
            <w:top w:val="none" w:sz="0" w:space="0" w:color="auto"/>
            <w:left w:val="none" w:sz="0" w:space="0" w:color="auto"/>
            <w:bottom w:val="none" w:sz="0" w:space="0" w:color="auto"/>
            <w:right w:val="none" w:sz="0" w:space="0" w:color="auto"/>
          </w:divBdr>
        </w:div>
      </w:divsChild>
    </w:div>
    <w:div w:id="1001003119">
      <w:bodyDiv w:val="1"/>
      <w:marLeft w:val="0"/>
      <w:marRight w:val="0"/>
      <w:marTop w:val="0"/>
      <w:marBottom w:val="0"/>
      <w:divBdr>
        <w:top w:val="none" w:sz="0" w:space="0" w:color="auto"/>
        <w:left w:val="none" w:sz="0" w:space="0" w:color="auto"/>
        <w:bottom w:val="none" w:sz="0" w:space="0" w:color="auto"/>
        <w:right w:val="none" w:sz="0" w:space="0" w:color="auto"/>
      </w:divBdr>
      <w:divsChild>
        <w:div w:id="439034997">
          <w:marLeft w:val="821"/>
          <w:marRight w:val="0"/>
          <w:marTop w:val="0"/>
          <w:marBottom w:val="0"/>
          <w:divBdr>
            <w:top w:val="none" w:sz="0" w:space="0" w:color="auto"/>
            <w:left w:val="none" w:sz="0" w:space="0" w:color="auto"/>
            <w:bottom w:val="none" w:sz="0" w:space="0" w:color="auto"/>
            <w:right w:val="none" w:sz="0" w:space="0" w:color="auto"/>
          </w:divBdr>
        </w:div>
        <w:div w:id="1465192306">
          <w:marLeft w:val="562"/>
          <w:marRight w:val="0"/>
          <w:marTop w:val="0"/>
          <w:marBottom w:val="0"/>
          <w:divBdr>
            <w:top w:val="none" w:sz="0" w:space="0" w:color="auto"/>
            <w:left w:val="none" w:sz="0" w:space="0" w:color="auto"/>
            <w:bottom w:val="none" w:sz="0" w:space="0" w:color="auto"/>
            <w:right w:val="none" w:sz="0" w:space="0" w:color="auto"/>
          </w:divBdr>
        </w:div>
        <w:div w:id="1946503101">
          <w:marLeft w:val="821"/>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500976243">
          <w:marLeft w:val="216"/>
          <w:marRight w:val="0"/>
          <w:marTop w:val="24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690132823">
          <w:marLeft w:val="216"/>
          <w:marRight w:val="0"/>
          <w:marTop w:val="24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12372690">
      <w:bodyDiv w:val="1"/>
      <w:marLeft w:val="0"/>
      <w:marRight w:val="0"/>
      <w:marTop w:val="0"/>
      <w:marBottom w:val="0"/>
      <w:divBdr>
        <w:top w:val="none" w:sz="0" w:space="0" w:color="auto"/>
        <w:left w:val="none" w:sz="0" w:space="0" w:color="auto"/>
        <w:bottom w:val="none" w:sz="0" w:space="0" w:color="auto"/>
        <w:right w:val="none" w:sz="0" w:space="0" w:color="auto"/>
      </w:divBdr>
      <w:divsChild>
        <w:div w:id="1614551447">
          <w:marLeft w:val="216"/>
          <w:marRight w:val="0"/>
          <w:marTop w:val="240"/>
          <w:marBottom w:val="0"/>
          <w:divBdr>
            <w:top w:val="none" w:sz="0" w:space="0" w:color="auto"/>
            <w:left w:val="none" w:sz="0" w:space="0" w:color="auto"/>
            <w:bottom w:val="none" w:sz="0" w:space="0" w:color="auto"/>
            <w:right w:val="none" w:sz="0" w:space="0" w:color="auto"/>
          </w:divBdr>
        </w:div>
      </w:divsChild>
    </w:div>
    <w:div w:id="1352679936">
      <w:bodyDiv w:val="1"/>
      <w:marLeft w:val="0"/>
      <w:marRight w:val="0"/>
      <w:marTop w:val="0"/>
      <w:marBottom w:val="0"/>
      <w:divBdr>
        <w:top w:val="none" w:sz="0" w:space="0" w:color="auto"/>
        <w:left w:val="none" w:sz="0" w:space="0" w:color="auto"/>
        <w:bottom w:val="none" w:sz="0" w:space="0" w:color="auto"/>
        <w:right w:val="none" w:sz="0" w:space="0" w:color="auto"/>
      </w:divBdr>
      <w:divsChild>
        <w:div w:id="95830850">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2824</Words>
  <Characters>16103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2021-04-07T01:40:00Z</dcterms:created>
  <dcterms:modified xsi:type="dcterms:W3CDTF">2021-04-07T01:40:00Z</dcterms:modified>
</cp:coreProperties>
</file>